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5A" w:rsidRPr="009F4391" w:rsidRDefault="007D0A5A" w:rsidP="001C4CEC">
      <w:pPr>
        <w:pStyle w:val="Header"/>
        <w:tabs>
          <w:tab w:val="clear" w:pos="4536"/>
          <w:tab w:val="clear" w:pos="9072"/>
        </w:tabs>
        <w:rPr>
          <w:rFonts w:ascii="Calibri" w:hAnsi="Calibri" w:cs="Arial"/>
          <w:sz w:val="22"/>
          <w:szCs w:val="22"/>
          <w:lang w:val="en-GB" w:eastAsia="en-US"/>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FED-eng" style="position:absolute;margin-left:-1.75pt;margin-top:-23.35pt;width:303.75pt;height:29.25pt;z-index:251658240;visibility:visible">
            <v:imagedata r:id="rId7" o:title=""/>
          </v:shape>
        </w:pict>
      </w:r>
    </w:p>
    <w:p w:rsidR="007D0A5A" w:rsidRPr="009F4391" w:rsidRDefault="007D0A5A" w:rsidP="001C4CEC">
      <w:pPr>
        <w:pStyle w:val="Header"/>
        <w:tabs>
          <w:tab w:val="clear" w:pos="4536"/>
          <w:tab w:val="clear" w:pos="9072"/>
        </w:tabs>
        <w:rPr>
          <w:rFonts w:ascii="Calibri" w:hAnsi="Calibri" w:cs="Arial"/>
          <w:sz w:val="22"/>
          <w:szCs w:val="22"/>
          <w:lang w:val="en-GB" w:eastAsia="en-US"/>
        </w:rPr>
      </w:pPr>
    </w:p>
    <w:p w:rsidR="007D0A5A" w:rsidRPr="009F4391" w:rsidRDefault="007D0A5A" w:rsidP="001C4CEC">
      <w:pPr>
        <w:pStyle w:val="Header"/>
        <w:tabs>
          <w:tab w:val="clear" w:pos="4536"/>
          <w:tab w:val="clear" w:pos="9072"/>
        </w:tabs>
        <w:rPr>
          <w:rFonts w:ascii="Calibri" w:hAnsi="Calibri" w:cs="Arial"/>
          <w:b/>
          <w:bCs/>
          <w:sz w:val="22"/>
          <w:szCs w:val="22"/>
          <w:lang w:val="en-GB" w:eastAsia="en-US"/>
        </w:rPr>
      </w:pPr>
      <w:r w:rsidRPr="009F4391">
        <w:rPr>
          <w:rFonts w:ascii="Calibri" w:hAnsi="Calibri" w:cs="Arial"/>
          <w:b/>
          <w:bCs/>
          <w:sz w:val="22"/>
          <w:szCs w:val="22"/>
          <w:lang w:val="en-GB" w:eastAsia="en-US"/>
        </w:rPr>
        <w:t>TERMS OF REFERENCE:</w:t>
      </w:r>
    </w:p>
    <w:p w:rsidR="007D0A5A" w:rsidRPr="009F4391" w:rsidRDefault="007D0A5A" w:rsidP="001C4CEC">
      <w:pPr>
        <w:pStyle w:val="Header"/>
        <w:tabs>
          <w:tab w:val="clear" w:pos="4536"/>
          <w:tab w:val="clear" w:pos="9072"/>
        </w:tabs>
        <w:rPr>
          <w:rFonts w:ascii="Calibri" w:hAnsi="Calibri" w:cs="Arial"/>
          <w:b/>
          <w:bCs/>
          <w:sz w:val="22"/>
          <w:szCs w:val="22"/>
          <w:lang w:val="en-GB" w:eastAsia="en-US"/>
        </w:rPr>
      </w:pPr>
    </w:p>
    <w:p w:rsidR="007D0A5A" w:rsidRPr="009F4391" w:rsidRDefault="007D0A5A" w:rsidP="001C4CEC">
      <w:pPr>
        <w:pStyle w:val="Header"/>
        <w:tabs>
          <w:tab w:val="clear" w:pos="4536"/>
          <w:tab w:val="clear" w:pos="9072"/>
        </w:tabs>
        <w:rPr>
          <w:rFonts w:ascii="Calibri" w:hAnsi="Calibri" w:cs="Arial"/>
          <w:b/>
          <w:bCs/>
          <w:sz w:val="22"/>
          <w:szCs w:val="22"/>
          <w:lang w:val="en-GB" w:eastAsia="en-US"/>
        </w:rPr>
      </w:pPr>
      <w:r w:rsidRPr="009F4391">
        <w:rPr>
          <w:rFonts w:ascii="Calibri" w:hAnsi="Calibri" w:cs="Arial"/>
          <w:b/>
          <w:bCs/>
          <w:sz w:val="22"/>
          <w:szCs w:val="22"/>
          <w:lang w:val="en-GB" w:eastAsia="en-US"/>
        </w:rPr>
        <w:t>Development of Red Cross/ Red C</w:t>
      </w:r>
      <w:r>
        <w:rPr>
          <w:rFonts w:ascii="Calibri" w:hAnsi="Calibri" w:cs="Arial"/>
          <w:b/>
          <w:bCs/>
          <w:sz w:val="22"/>
          <w:szCs w:val="22"/>
          <w:lang w:val="en-GB" w:eastAsia="en-US"/>
        </w:rPr>
        <w:t xml:space="preserve">rescent Guidelines on Community Based Early Warning Systems </w:t>
      </w:r>
    </w:p>
    <w:p w:rsidR="007D0A5A" w:rsidRPr="009F4391" w:rsidRDefault="007D0A5A" w:rsidP="001C4CEC">
      <w:pPr>
        <w:pStyle w:val="Header"/>
        <w:tabs>
          <w:tab w:val="clear" w:pos="4536"/>
          <w:tab w:val="clear" w:pos="9072"/>
        </w:tabs>
        <w:rPr>
          <w:rFonts w:ascii="Calibri" w:hAnsi="Calibri" w:cs="Arial"/>
          <w:sz w:val="22"/>
          <w:szCs w:val="22"/>
          <w:lang w:val="en-GB" w:eastAsia="en-US"/>
        </w:rPr>
      </w:pPr>
    </w:p>
    <w:p w:rsidR="007D0A5A" w:rsidRPr="009F4391" w:rsidRDefault="007D0A5A" w:rsidP="001C4CEC">
      <w:pPr>
        <w:pStyle w:val="Header"/>
        <w:tabs>
          <w:tab w:val="clear" w:pos="4536"/>
          <w:tab w:val="clear" w:pos="9072"/>
        </w:tabs>
        <w:rPr>
          <w:rFonts w:ascii="Calibri" w:hAnsi="Calibri" w:cs="Arial"/>
          <w:sz w:val="22"/>
          <w:szCs w:val="22"/>
          <w:lang w:val="en-GB" w:eastAsia="en-US"/>
        </w:rPr>
      </w:pPr>
      <w:r>
        <w:rPr>
          <w:noProof/>
          <w:lang w:val="en-US" w:eastAsia="zh-CN"/>
        </w:rPr>
        <w:pict>
          <v:line id="_x0000_s1027" style="position:absolute;z-index:251659264" from="0,2.2pt" to="450pt,2.2pt" strokeweight="1.5pt"/>
        </w:pict>
      </w:r>
    </w:p>
    <w:p w:rsidR="007D0A5A" w:rsidRPr="009F4391" w:rsidRDefault="007D0A5A" w:rsidP="001C4CEC">
      <w:pPr>
        <w:pStyle w:val="Header"/>
        <w:tabs>
          <w:tab w:val="clear" w:pos="4536"/>
          <w:tab w:val="clear" w:pos="9072"/>
        </w:tabs>
        <w:jc w:val="both"/>
        <w:rPr>
          <w:rFonts w:ascii="Calibri" w:hAnsi="Calibri"/>
          <w:b/>
          <w:bCs/>
          <w:sz w:val="22"/>
          <w:szCs w:val="22"/>
          <w:lang w:val="en-GB"/>
        </w:rPr>
      </w:pPr>
      <w:r w:rsidRPr="009C26BF">
        <w:rPr>
          <w:rFonts w:ascii="Calibri" w:hAnsi="Calibri"/>
          <w:b/>
          <w:bCs/>
          <w:sz w:val="22"/>
          <w:szCs w:val="22"/>
          <w:lang w:val="en-GB"/>
        </w:rPr>
        <w:t>Background</w:t>
      </w:r>
    </w:p>
    <w:p w:rsidR="007D0A5A" w:rsidRDefault="007D0A5A">
      <w:pPr>
        <w:pStyle w:val="Header"/>
        <w:jc w:val="both"/>
        <w:rPr>
          <w:rFonts w:ascii="Calibri" w:hAnsi="Calibri" w:cs="Arial"/>
          <w:sz w:val="22"/>
          <w:szCs w:val="22"/>
          <w:lang w:val="en-US" w:eastAsia="en-GB" w:bidi="ta-IN"/>
        </w:rPr>
      </w:pPr>
      <w:r w:rsidRPr="009C26BF">
        <w:rPr>
          <w:rFonts w:ascii="Calibri" w:hAnsi="Calibri" w:cs="Arial"/>
          <w:sz w:val="22"/>
          <w:szCs w:val="22"/>
          <w:lang w:val="en-GB" w:eastAsia="en-GB" w:bidi="ta-IN"/>
        </w:rPr>
        <w:t xml:space="preserve">Based on the expressed needs of Red Cross/Red Crescent (RC/RC) partners working in the field of disaster preparedness and risk reduction, the International Federation of Red Cross and Red Crescent Societies (IFRC) will </w:t>
      </w:r>
      <w:r>
        <w:rPr>
          <w:rFonts w:ascii="Calibri" w:hAnsi="Calibri" w:cs="Arial"/>
          <w:sz w:val="22"/>
          <w:szCs w:val="22"/>
          <w:lang w:val="en-GB" w:eastAsia="en-GB" w:bidi="ta-IN"/>
        </w:rPr>
        <w:t xml:space="preserve">contract a consultant to </w:t>
      </w:r>
      <w:r w:rsidRPr="009C26BF">
        <w:rPr>
          <w:rFonts w:ascii="Calibri" w:hAnsi="Calibri" w:cs="Arial"/>
          <w:sz w:val="22"/>
          <w:szCs w:val="22"/>
          <w:lang w:val="en-GB" w:eastAsia="en-GB" w:bidi="ta-IN"/>
        </w:rPr>
        <w:t xml:space="preserve">develop guidelines for establishing and maintaining community based early warning systems. </w:t>
      </w:r>
      <w:r w:rsidRPr="009C26BF">
        <w:rPr>
          <w:rFonts w:ascii="Calibri" w:hAnsi="Calibri" w:cs="Arial"/>
          <w:sz w:val="22"/>
          <w:szCs w:val="22"/>
          <w:lang w:val="en-US" w:eastAsia="en-GB" w:bidi="ta-IN"/>
        </w:rPr>
        <w:t xml:space="preserve">Community based early warning systems </w:t>
      </w:r>
      <w:r w:rsidRPr="009C26BF">
        <w:rPr>
          <w:rFonts w:ascii="Calibri" w:hAnsi="Calibri" w:cs="Arial"/>
          <w:bCs/>
          <w:sz w:val="22"/>
          <w:szCs w:val="22"/>
          <w:lang w:val="en-US"/>
        </w:rPr>
        <w:t>(CBEWS)</w:t>
      </w:r>
      <w:r w:rsidRPr="009C26BF">
        <w:rPr>
          <w:rFonts w:ascii="Calibri" w:hAnsi="Calibri" w:cs="Arial"/>
          <w:sz w:val="22"/>
          <w:szCs w:val="22"/>
          <w:lang w:val="en-US" w:eastAsia="en-GB" w:bidi="ta-IN"/>
        </w:rPr>
        <w:t xml:space="preserve"> are increasingly </w:t>
      </w:r>
      <w:r w:rsidRPr="009C26BF">
        <w:rPr>
          <w:rFonts w:ascii="Calibri" w:hAnsi="Calibri" w:cs="Arial"/>
          <w:sz w:val="22"/>
          <w:szCs w:val="22"/>
          <w:lang w:val="en-GB" w:eastAsia="en-GB" w:bidi="ta-IN"/>
        </w:rPr>
        <w:t>recognized</w:t>
      </w:r>
      <w:r w:rsidRPr="009C26BF">
        <w:rPr>
          <w:rFonts w:ascii="Calibri" w:hAnsi="Calibri" w:cs="Arial"/>
          <w:sz w:val="22"/>
          <w:szCs w:val="22"/>
          <w:lang w:val="en-US" w:eastAsia="en-GB" w:bidi="ta-IN"/>
        </w:rPr>
        <w:t xml:space="preserve"> as critical to saving lives and livelihoods in the event of an emergency. </w:t>
      </w:r>
    </w:p>
    <w:p w:rsidR="007D0A5A" w:rsidRDefault="007D0A5A">
      <w:pPr>
        <w:pStyle w:val="Header"/>
        <w:jc w:val="both"/>
        <w:rPr>
          <w:rFonts w:ascii="Calibri" w:hAnsi="Calibri" w:cs="Arial"/>
          <w:sz w:val="22"/>
          <w:szCs w:val="22"/>
          <w:lang w:eastAsia="en-GB" w:bidi="ta-IN"/>
        </w:rPr>
      </w:pPr>
    </w:p>
    <w:p w:rsidR="007D0A5A" w:rsidRPr="009F4391" w:rsidRDefault="007D0A5A" w:rsidP="001C4CEC">
      <w:pPr>
        <w:autoSpaceDE w:val="0"/>
        <w:autoSpaceDN w:val="0"/>
        <w:adjustRightInd w:val="0"/>
        <w:jc w:val="both"/>
        <w:rPr>
          <w:rFonts w:ascii="Calibri" w:hAnsi="Calibri" w:cs="Arial"/>
          <w:sz w:val="22"/>
          <w:szCs w:val="22"/>
          <w:lang w:eastAsia="en-GB" w:bidi="ta-IN"/>
        </w:rPr>
      </w:pPr>
      <w:r>
        <w:rPr>
          <w:rFonts w:ascii="Calibri" w:hAnsi="Calibri" w:cs="Arial"/>
          <w:sz w:val="22"/>
          <w:szCs w:val="22"/>
          <w:lang w:eastAsia="en-GB" w:bidi="ta-IN"/>
        </w:rPr>
        <w:t xml:space="preserve">Community based early warning systems require the commitment of communities to maintain and monitor the functioning of the system. It is no use designing locally based early-warning monitoring and alert mechanisms that cannot be sustained by the communities they seek to protect. The challenge is that CBEWS need to be complex enough to interface with different government and non-governmental bodies, accessible enough </w:t>
      </w:r>
      <w:r w:rsidRPr="009F4391">
        <w:rPr>
          <w:rFonts w:ascii="Calibri" w:hAnsi="Calibri" w:cs="Arial"/>
          <w:sz w:val="22"/>
          <w:szCs w:val="22"/>
          <w:lang w:eastAsia="en-GB" w:bidi="ta-IN"/>
        </w:rPr>
        <w:t>to reach</w:t>
      </w:r>
      <w:r>
        <w:rPr>
          <w:rFonts w:ascii="Calibri" w:hAnsi="Calibri" w:cs="Arial"/>
          <w:sz w:val="22"/>
          <w:szCs w:val="22"/>
          <w:lang w:eastAsia="en-GB" w:bidi="ta-IN"/>
        </w:rPr>
        <w:t xml:space="preserve"> marginalized and highly-vulnerable populations, and yet simple and inexpensive enough to be managed and sustained by the communities themselves. </w:t>
      </w:r>
    </w:p>
    <w:p w:rsidR="007D0A5A" w:rsidRPr="009F4391" w:rsidRDefault="007D0A5A" w:rsidP="001C4CEC">
      <w:pPr>
        <w:autoSpaceDE w:val="0"/>
        <w:autoSpaceDN w:val="0"/>
        <w:adjustRightInd w:val="0"/>
        <w:jc w:val="both"/>
        <w:rPr>
          <w:rFonts w:ascii="Calibri" w:hAnsi="Calibri" w:cs="Arial"/>
          <w:sz w:val="22"/>
          <w:szCs w:val="22"/>
          <w:lang w:eastAsia="en-GB" w:bidi="ta-IN"/>
        </w:rPr>
      </w:pPr>
    </w:p>
    <w:p w:rsidR="007D0A5A" w:rsidRPr="009F4391" w:rsidRDefault="007D0A5A" w:rsidP="001C4CEC">
      <w:pPr>
        <w:autoSpaceDE w:val="0"/>
        <w:autoSpaceDN w:val="0"/>
        <w:adjustRightInd w:val="0"/>
        <w:jc w:val="both"/>
        <w:rPr>
          <w:rFonts w:ascii="Calibri" w:hAnsi="Calibri" w:cs="Arial"/>
          <w:sz w:val="22"/>
          <w:szCs w:val="22"/>
          <w:lang w:eastAsia="en-GB" w:bidi="ta-IN"/>
        </w:rPr>
      </w:pPr>
      <w:r>
        <w:rPr>
          <w:rFonts w:ascii="Calibri" w:hAnsi="Calibri" w:cs="Arial"/>
          <w:sz w:val="22"/>
          <w:szCs w:val="22"/>
          <w:lang w:eastAsia="en-GB" w:bidi="ta-IN"/>
        </w:rPr>
        <w:t>Communities use diverse coping strategies based on local knowledge of their environment, their socio-economic situation and livelihood strategies. However, while still important in today’s world, this indigenous knowledge needs to be reinforced by modern methods of risk mapping and hazard monitoring. The combination of local knowledge and modern methods is where the National Society and other partners play a role in helping the communities establish and maintain efficient CBEWS.</w:t>
      </w:r>
      <w:r w:rsidRPr="009F4391">
        <w:rPr>
          <w:rFonts w:ascii="Calibri" w:hAnsi="Calibri" w:cs="Arial"/>
          <w:sz w:val="22"/>
          <w:szCs w:val="22"/>
          <w:lang w:eastAsia="en-GB" w:bidi="ta-IN"/>
        </w:rPr>
        <w:t xml:space="preserve"> </w:t>
      </w:r>
    </w:p>
    <w:p w:rsidR="007D0A5A" w:rsidRPr="009F4391" w:rsidRDefault="007D0A5A" w:rsidP="001C4CEC">
      <w:pPr>
        <w:autoSpaceDE w:val="0"/>
        <w:autoSpaceDN w:val="0"/>
        <w:adjustRightInd w:val="0"/>
        <w:jc w:val="both"/>
        <w:rPr>
          <w:rFonts w:ascii="Calibri" w:hAnsi="Calibri" w:cs="Arial"/>
          <w:sz w:val="22"/>
          <w:szCs w:val="22"/>
          <w:lang w:eastAsia="en-GB" w:bidi="ta-IN"/>
        </w:rPr>
      </w:pPr>
    </w:p>
    <w:p w:rsidR="007D0A5A" w:rsidRPr="009F4391" w:rsidRDefault="007D0A5A" w:rsidP="00E6289A">
      <w:pPr>
        <w:autoSpaceDE w:val="0"/>
        <w:autoSpaceDN w:val="0"/>
        <w:adjustRightInd w:val="0"/>
        <w:jc w:val="both"/>
        <w:rPr>
          <w:rFonts w:ascii="Calibri" w:hAnsi="Calibri" w:cs="Arial"/>
          <w:sz w:val="22"/>
          <w:szCs w:val="22"/>
          <w:lang w:eastAsia="en-GB" w:bidi="ta-IN"/>
        </w:rPr>
      </w:pPr>
      <w:r>
        <w:rPr>
          <w:rFonts w:ascii="Calibri" w:hAnsi="Calibri" w:cs="Arial"/>
          <w:sz w:val="22"/>
          <w:szCs w:val="22"/>
          <w:lang w:eastAsia="en-GB" w:bidi="ta-IN"/>
        </w:rPr>
        <w:t xml:space="preserve">A community based early warning system does not function in isolation. It is part of a chain and needs to be linked to government and other partners that work at the local level in early warning and disaster risk reduction. Long-term partnerships need to be established with these different organizations to ensure the system’s sustainability. An early warning system should not be static – it needs to be changeable and adaptable to time and local conditions. It should be based on a variety of information sources and result in different actions for alerts and warnings. Early warning for rural and urban situations might look very different as will models for areas which attract tourists and those that serve remote village communities. All early warning systems, need to comprise four elements; risk knowledge; technical monitoring and warning services; dissemination and communication of warnings; response capability and preparedness to act. Weaknesses in any of these elements could lead to failure of the whole system. </w:t>
      </w:r>
    </w:p>
    <w:p w:rsidR="007D0A5A" w:rsidRPr="009F4391" w:rsidRDefault="007D0A5A" w:rsidP="001C4CEC">
      <w:pPr>
        <w:autoSpaceDE w:val="0"/>
        <w:autoSpaceDN w:val="0"/>
        <w:adjustRightInd w:val="0"/>
        <w:jc w:val="both"/>
        <w:rPr>
          <w:rFonts w:ascii="Calibri" w:hAnsi="Calibri" w:cs="Arial"/>
          <w:sz w:val="22"/>
          <w:szCs w:val="22"/>
          <w:lang w:eastAsia="en-GB" w:bidi="ta-IN"/>
        </w:rPr>
      </w:pPr>
    </w:p>
    <w:p w:rsidR="007D0A5A" w:rsidRPr="009F4391" w:rsidRDefault="007D0A5A" w:rsidP="001C4CEC">
      <w:pPr>
        <w:autoSpaceDE w:val="0"/>
        <w:autoSpaceDN w:val="0"/>
        <w:adjustRightInd w:val="0"/>
        <w:jc w:val="both"/>
        <w:rPr>
          <w:rFonts w:ascii="Calibri" w:hAnsi="Calibri" w:cs="Arial"/>
          <w:sz w:val="22"/>
          <w:szCs w:val="22"/>
          <w:lang w:eastAsia="en-GB" w:bidi="ta-IN"/>
        </w:rPr>
      </w:pPr>
      <w:r>
        <w:rPr>
          <w:rFonts w:ascii="Calibri" w:hAnsi="Calibri" w:cs="Arial"/>
          <w:sz w:val="22"/>
          <w:szCs w:val="22"/>
          <w:lang w:eastAsia="en-GB" w:bidi="ta-IN"/>
        </w:rPr>
        <w:t xml:space="preserve">The role of the local Red Cross or Red Crescent National Societies can play in helping communities establish early warning systems is a critical one. Not only do National Societies have volunteers that understand the communities’ diversity and can help establish the appropriate local systems, they can also provides structures at the branch and headquarters levels to process and filter early warning data going to and coming from the community. </w:t>
      </w:r>
    </w:p>
    <w:p w:rsidR="007D0A5A" w:rsidRPr="00650231" w:rsidRDefault="007D0A5A" w:rsidP="001C4CEC">
      <w:pPr>
        <w:autoSpaceDE w:val="0"/>
        <w:autoSpaceDN w:val="0"/>
        <w:adjustRightInd w:val="0"/>
        <w:jc w:val="both"/>
        <w:rPr>
          <w:rFonts w:ascii="Calibri" w:hAnsi="Calibri" w:cs="Arial"/>
          <w:sz w:val="22"/>
          <w:szCs w:val="22"/>
          <w:lang w:eastAsia="en-GB" w:bidi="ta-IN"/>
        </w:rPr>
      </w:pPr>
    </w:p>
    <w:p w:rsidR="007D0A5A" w:rsidRPr="00650231" w:rsidRDefault="007D0A5A" w:rsidP="00B743B5">
      <w:pPr>
        <w:jc w:val="both"/>
        <w:rPr>
          <w:rFonts w:ascii="Calibri" w:hAnsi="Calibri"/>
          <w:sz w:val="22"/>
          <w:szCs w:val="22"/>
        </w:rPr>
      </w:pPr>
      <w:r w:rsidRPr="00650231">
        <w:rPr>
          <w:rFonts w:ascii="Calibri" w:hAnsi="Calibri"/>
          <w:sz w:val="22"/>
          <w:szCs w:val="22"/>
        </w:rPr>
        <w:t xml:space="preserve">Approach </w:t>
      </w:r>
    </w:p>
    <w:p w:rsidR="007D0A5A" w:rsidRPr="00650231" w:rsidRDefault="007D0A5A" w:rsidP="00B743B5">
      <w:pPr>
        <w:jc w:val="both"/>
        <w:rPr>
          <w:rFonts w:ascii="Calibri" w:hAnsi="Calibri"/>
          <w:sz w:val="22"/>
          <w:szCs w:val="22"/>
        </w:rPr>
      </w:pPr>
    </w:p>
    <w:p w:rsidR="007D0A5A" w:rsidRPr="00650231" w:rsidRDefault="007D0A5A" w:rsidP="00B743B5">
      <w:pPr>
        <w:jc w:val="both"/>
        <w:rPr>
          <w:rFonts w:ascii="Calibri" w:hAnsi="Calibri"/>
          <w:sz w:val="22"/>
          <w:szCs w:val="22"/>
        </w:rPr>
      </w:pPr>
      <w:r w:rsidRPr="00650231">
        <w:rPr>
          <w:rFonts w:ascii="Calibri" w:hAnsi="Calibri"/>
          <w:sz w:val="22"/>
          <w:szCs w:val="22"/>
        </w:rPr>
        <w:t xml:space="preserve">Disasters are increasing in number and severity, to be effective, early warning systems for natural hazards need to have not only a sound scientific and technical basis, but also a strong focus on the people exposed to risk, and with a systems approach that incorporates all of the relevant factors in that risk, whether arising from the natural hazards or social vulnerabilities, and from short-term or long-term processes. </w:t>
      </w:r>
    </w:p>
    <w:p w:rsidR="007D0A5A" w:rsidRPr="00650231" w:rsidRDefault="007D0A5A" w:rsidP="00B743B5">
      <w:pPr>
        <w:jc w:val="both"/>
        <w:rPr>
          <w:rFonts w:ascii="Calibri" w:hAnsi="Calibri"/>
          <w:sz w:val="22"/>
          <w:szCs w:val="22"/>
        </w:rPr>
      </w:pPr>
    </w:p>
    <w:p w:rsidR="007D0A5A" w:rsidRPr="00650231" w:rsidRDefault="007D0A5A" w:rsidP="00650231">
      <w:pPr>
        <w:jc w:val="both"/>
        <w:rPr>
          <w:rFonts w:ascii="Calibri" w:hAnsi="Calibri"/>
          <w:sz w:val="22"/>
          <w:szCs w:val="22"/>
        </w:rPr>
      </w:pPr>
    </w:p>
    <w:p w:rsidR="007D0A5A" w:rsidRPr="00650231" w:rsidRDefault="007D0A5A" w:rsidP="00650231">
      <w:pPr>
        <w:jc w:val="both"/>
        <w:rPr>
          <w:rFonts w:ascii="Calibri" w:hAnsi="Calibri"/>
          <w:sz w:val="22"/>
          <w:szCs w:val="22"/>
        </w:rPr>
      </w:pPr>
      <w:r w:rsidRPr="00650231">
        <w:rPr>
          <w:rFonts w:ascii="Calibri" w:hAnsi="Calibri"/>
          <w:sz w:val="22"/>
          <w:szCs w:val="22"/>
        </w:rPr>
        <w:t>Community based early warning systems need the active involvement of the community people, a strong public education on and awareness of risks, an effective communication system ensuring a constant state of preparedness.</w:t>
      </w:r>
      <w:r>
        <w:rPr>
          <w:rFonts w:ascii="Calibri" w:hAnsi="Calibri"/>
          <w:sz w:val="22"/>
          <w:szCs w:val="22"/>
        </w:rPr>
        <w:t xml:space="preserve"> Taking in to account this International Federation </w:t>
      </w:r>
      <w:r w:rsidRPr="009C26BF">
        <w:rPr>
          <w:rFonts w:ascii="Calibri" w:hAnsi="Calibri" w:cs="Arial"/>
          <w:sz w:val="22"/>
          <w:szCs w:val="22"/>
          <w:lang w:eastAsia="en-GB" w:bidi="ta-IN"/>
        </w:rPr>
        <w:t>will develop</w:t>
      </w:r>
      <w:r>
        <w:rPr>
          <w:rFonts w:ascii="Calibri" w:hAnsi="Calibri" w:cs="Arial"/>
          <w:sz w:val="22"/>
          <w:szCs w:val="22"/>
          <w:lang w:eastAsia="en-GB" w:bidi="ta-IN"/>
        </w:rPr>
        <w:t xml:space="preserve"> global guidelines</w:t>
      </w:r>
      <w:r w:rsidRPr="009C26BF">
        <w:rPr>
          <w:rFonts w:ascii="Calibri" w:hAnsi="Calibri" w:cs="Arial"/>
          <w:sz w:val="22"/>
          <w:szCs w:val="22"/>
          <w:lang w:eastAsia="en-GB" w:bidi="ta-IN"/>
        </w:rPr>
        <w:t xml:space="preserve"> for establishing and maintaining community based early warning systems</w:t>
      </w:r>
      <w:r>
        <w:rPr>
          <w:rFonts w:ascii="Calibri" w:hAnsi="Calibri" w:cs="Arial"/>
          <w:sz w:val="22"/>
          <w:szCs w:val="22"/>
          <w:lang w:eastAsia="en-GB" w:bidi="ta-IN"/>
        </w:rPr>
        <w:t xml:space="preserve"> to support National Societies activities on this area. </w:t>
      </w:r>
    </w:p>
    <w:p w:rsidR="007D0A5A" w:rsidRPr="00650231" w:rsidRDefault="007D0A5A" w:rsidP="00650231">
      <w:pPr>
        <w:autoSpaceDE w:val="0"/>
        <w:autoSpaceDN w:val="0"/>
        <w:adjustRightInd w:val="0"/>
        <w:jc w:val="both"/>
        <w:rPr>
          <w:rFonts w:ascii="Verdana" w:hAnsi="Verdana" w:cs="Lucida Sans Unicode"/>
          <w:color w:val="333333"/>
          <w:sz w:val="15"/>
          <w:szCs w:val="15"/>
        </w:rPr>
      </w:pPr>
    </w:p>
    <w:p w:rsidR="007D0A5A" w:rsidRPr="009F4391" w:rsidRDefault="007D0A5A" w:rsidP="00B743B5">
      <w:pPr>
        <w:jc w:val="both"/>
        <w:rPr>
          <w:rFonts w:ascii="Calibri" w:hAnsi="Calibri"/>
          <w:sz w:val="22"/>
          <w:szCs w:val="22"/>
        </w:rPr>
      </w:pPr>
      <w:r>
        <w:rPr>
          <w:rFonts w:ascii="Verdana" w:hAnsi="Verdana" w:cs="Lucida Sans Unicode"/>
          <w:color w:val="333333"/>
          <w:sz w:val="15"/>
          <w:szCs w:val="15"/>
        </w:rPr>
        <w:t xml:space="preserve"> </w:t>
      </w:r>
      <w:r>
        <w:rPr>
          <w:rFonts w:ascii="Calibri" w:hAnsi="Calibri"/>
          <w:sz w:val="22"/>
          <w:szCs w:val="22"/>
        </w:rPr>
        <w:t>The</w:t>
      </w:r>
      <w:r w:rsidRPr="009F4391">
        <w:rPr>
          <w:rFonts w:ascii="Calibri" w:hAnsi="Calibri"/>
          <w:sz w:val="22"/>
          <w:szCs w:val="22"/>
        </w:rPr>
        <w:t xml:space="preserve"> development of the CBEWS guidelines will </w:t>
      </w:r>
      <w:r>
        <w:rPr>
          <w:rFonts w:ascii="Calibri" w:hAnsi="Calibri"/>
          <w:sz w:val="22"/>
          <w:szCs w:val="22"/>
        </w:rPr>
        <w:t>consider the very different contexts and capacities of the RC/RC and other actors in different parts of the world. This will include the following:</w:t>
      </w:r>
    </w:p>
    <w:p w:rsidR="007D0A5A" w:rsidRDefault="007D0A5A">
      <w:pPr>
        <w:ind w:left="360"/>
        <w:jc w:val="both"/>
        <w:rPr>
          <w:rFonts w:ascii="Calibri" w:hAnsi="Calibri"/>
          <w:sz w:val="22"/>
          <w:szCs w:val="22"/>
        </w:rPr>
      </w:pPr>
    </w:p>
    <w:p w:rsidR="007D0A5A" w:rsidRDefault="007D0A5A">
      <w:pPr>
        <w:numPr>
          <w:ilvl w:val="0"/>
          <w:numId w:val="47"/>
        </w:numPr>
        <w:jc w:val="both"/>
        <w:rPr>
          <w:rFonts w:ascii="Calibri" w:hAnsi="Calibri"/>
          <w:sz w:val="22"/>
          <w:szCs w:val="22"/>
        </w:rPr>
      </w:pPr>
      <w:r>
        <w:rPr>
          <w:rFonts w:ascii="Calibri" w:hAnsi="Calibri"/>
          <w:sz w:val="22"/>
          <w:szCs w:val="22"/>
        </w:rPr>
        <w:t xml:space="preserve">Differences in the types of disasters: slow onset, fast onset; hurricanes, flood, drought, earthquakes and </w:t>
      </w:r>
      <w:r w:rsidRPr="009F4391">
        <w:rPr>
          <w:rFonts w:ascii="Calibri" w:hAnsi="Calibri"/>
          <w:sz w:val="22"/>
          <w:szCs w:val="22"/>
        </w:rPr>
        <w:t xml:space="preserve">tsunamis, landslides, fires, (as well as combinations of these); localised or widespread disaster events. </w:t>
      </w:r>
    </w:p>
    <w:p w:rsidR="007D0A5A" w:rsidRPr="009F4391" w:rsidRDefault="007D0A5A" w:rsidP="009F4391">
      <w:pPr>
        <w:numPr>
          <w:ilvl w:val="0"/>
          <w:numId w:val="47"/>
        </w:numPr>
        <w:jc w:val="both"/>
        <w:rPr>
          <w:rFonts w:ascii="Calibri" w:hAnsi="Calibri"/>
          <w:sz w:val="22"/>
          <w:szCs w:val="22"/>
        </w:rPr>
      </w:pPr>
      <w:r>
        <w:rPr>
          <w:rFonts w:ascii="Calibri" w:hAnsi="Calibri"/>
          <w:sz w:val="22"/>
          <w:szCs w:val="22"/>
        </w:rPr>
        <w:t xml:space="preserve">Different livelihood groups and communities facing different hazards, with consequent differences in information requirements for early warning (e.g. pastoral and agricultural populations living in close proximity or people living on the coast and those a few kilometres inland). </w:t>
      </w:r>
    </w:p>
    <w:p w:rsidR="007D0A5A" w:rsidRPr="009F4391" w:rsidRDefault="007D0A5A" w:rsidP="009F4391">
      <w:pPr>
        <w:numPr>
          <w:ilvl w:val="0"/>
          <w:numId w:val="47"/>
        </w:numPr>
        <w:jc w:val="both"/>
        <w:rPr>
          <w:rFonts w:ascii="Calibri" w:hAnsi="Calibri"/>
          <w:sz w:val="22"/>
          <w:szCs w:val="22"/>
        </w:rPr>
      </w:pPr>
      <w:r>
        <w:rPr>
          <w:rFonts w:ascii="Calibri" w:hAnsi="Calibri"/>
          <w:sz w:val="22"/>
          <w:szCs w:val="22"/>
        </w:rPr>
        <w:t>Indigenous early warning systems that already exist : RC/RC role may be to link indigenous and formal early warning systems (i.e. links with meteorological forecasting systems)</w:t>
      </w:r>
    </w:p>
    <w:p w:rsidR="007D0A5A" w:rsidRDefault="007D0A5A">
      <w:pPr>
        <w:numPr>
          <w:ilvl w:val="0"/>
          <w:numId w:val="47"/>
        </w:numPr>
        <w:jc w:val="both"/>
        <w:rPr>
          <w:rFonts w:ascii="Calibri" w:hAnsi="Calibri"/>
          <w:sz w:val="22"/>
          <w:szCs w:val="22"/>
        </w:rPr>
      </w:pPr>
      <w:r>
        <w:rPr>
          <w:rFonts w:ascii="Calibri" w:hAnsi="Calibri"/>
          <w:sz w:val="22"/>
          <w:szCs w:val="22"/>
        </w:rPr>
        <w:t>Capacities of RC/RC National Societies in relation to data collection, analysis and communication, taking also into account capacities of other actors and institutions that form part of the early warning system.</w:t>
      </w:r>
    </w:p>
    <w:p w:rsidR="007D0A5A" w:rsidRDefault="007D0A5A" w:rsidP="009C26BF">
      <w:pPr>
        <w:numPr>
          <w:ilvl w:val="0"/>
          <w:numId w:val="47"/>
        </w:numPr>
        <w:jc w:val="both"/>
        <w:rPr>
          <w:rFonts w:ascii="Calibri" w:hAnsi="Calibri"/>
          <w:sz w:val="22"/>
          <w:szCs w:val="22"/>
        </w:rPr>
      </w:pPr>
      <w:r>
        <w:rPr>
          <w:rFonts w:ascii="Calibri" w:hAnsi="Calibri"/>
          <w:sz w:val="22"/>
          <w:szCs w:val="22"/>
        </w:rPr>
        <w:t>Capacities of communities to ensure</w:t>
      </w:r>
      <w:r w:rsidRPr="009F4391">
        <w:rPr>
          <w:rFonts w:ascii="Calibri" w:hAnsi="Calibri"/>
          <w:sz w:val="22"/>
          <w:szCs w:val="22"/>
        </w:rPr>
        <w:t xml:space="preserve"> long-term man</w:t>
      </w:r>
      <w:r>
        <w:rPr>
          <w:rFonts w:ascii="Calibri" w:hAnsi="Calibri"/>
          <w:sz w:val="22"/>
          <w:szCs w:val="22"/>
        </w:rPr>
        <w:t xml:space="preserve">agement and maintenance of CBEWS with limited support from RC/RC, government, and other partner agencies.  </w:t>
      </w:r>
    </w:p>
    <w:p w:rsidR="007D0A5A" w:rsidRPr="009F4391" w:rsidRDefault="007D0A5A" w:rsidP="00B743B5">
      <w:pPr>
        <w:jc w:val="both"/>
        <w:rPr>
          <w:rFonts w:ascii="Calibri" w:hAnsi="Calibri"/>
          <w:sz w:val="22"/>
          <w:szCs w:val="22"/>
        </w:rPr>
      </w:pPr>
    </w:p>
    <w:p w:rsidR="007D0A5A" w:rsidRPr="009F4391" w:rsidRDefault="007D0A5A" w:rsidP="001C4CEC">
      <w:pPr>
        <w:pStyle w:val="Header"/>
        <w:tabs>
          <w:tab w:val="clear" w:pos="4536"/>
          <w:tab w:val="clear" w:pos="9072"/>
        </w:tabs>
        <w:jc w:val="both"/>
        <w:rPr>
          <w:rFonts w:ascii="Calibri" w:hAnsi="Calibri"/>
          <w:b/>
          <w:bCs/>
          <w:sz w:val="22"/>
          <w:szCs w:val="22"/>
          <w:lang w:val="en-GB"/>
        </w:rPr>
      </w:pPr>
      <w:r>
        <w:rPr>
          <w:rFonts w:ascii="Calibri" w:hAnsi="Calibri"/>
          <w:b/>
          <w:bCs/>
          <w:sz w:val="22"/>
          <w:szCs w:val="22"/>
          <w:lang w:val="en-GB"/>
        </w:rPr>
        <w:t>Purpose</w:t>
      </w:r>
    </w:p>
    <w:p w:rsidR="007D0A5A" w:rsidRPr="009F4391" w:rsidRDefault="007D0A5A" w:rsidP="00B36D9D">
      <w:pPr>
        <w:jc w:val="both"/>
        <w:rPr>
          <w:rFonts w:ascii="Calibri" w:hAnsi="Calibri" w:cs="Arial"/>
          <w:sz w:val="22"/>
          <w:szCs w:val="22"/>
          <w:lang w:eastAsia="en-GB" w:bidi="ta-IN"/>
        </w:rPr>
      </w:pPr>
      <w:r>
        <w:rPr>
          <w:rFonts w:ascii="Calibri" w:hAnsi="Calibri" w:cs="Arial"/>
          <w:sz w:val="22"/>
          <w:szCs w:val="22"/>
          <w:lang w:eastAsia="en-GB" w:bidi="ta-IN"/>
        </w:rPr>
        <w:t>The purpose of this consultancy is to develop</w:t>
      </w:r>
      <w:r w:rsidRPr="009F4391">
        <w:rPr>
          <w:rFonts w:ascii="Calibri" w:hAnsi="Calibri" w:cs="Arial"/>
          <w:sz w:val="22"/>
          <w:szCs w:val="22"/>
          <w:lang w:eastAsia="en-GB" w:bidi="ta-IN"/>
        </w:rPr>
        <w:t xml:space="preserve"> RC/</w:t>
      </w:r>
      <w:r>
        <w:rPr>
          <w:rFonts w:ascii="Calibri" w:hAnsi="Calibri" w:cs="Arial"/>
          <w:sz w:val="22"/>
          <w:szCs w:val="22"/>
          <w:lang w:eastAsia="en-GB" w:bidi="ta-IN"/>
        </w:rPr>
        <w:t xml:space="preserve">RC guidelines on establishing CBEWS based on best practices found within the RC/RC movement and wider humanitarian sector.  </w:t>
      </w:r>
    </w:p>
    <w:p w:rsidR="007D0A5A" w:rsidRPr="009F4391" w:rsidRDefault="007D0A5A" w:rsidP="00B36D9D">
      <w:pPr>
        <w:jc w:val="both"/>
        <w:rPr>
          <w:rFonts w:ascii="Calibri" w:hAnsi="Calibri"/>
          <w:b/>
          <w:bCs/>
          <w:sz w:val="22"/>
          <w:szCs w:val="22"/>
        </w:rPr>
      </w:pPr>
    </w:p>
    <w:p w:rsidR="007D0A5A" w:rsidRPr="009F4391" w:rsidRDefault="007D0A5A" w:rsidP="001302ED">
      <w:pPr>
        <w:jc w:val="both"/>
        <w:rPr>
          <w:rFonts w:ascii="Calibri" w:hAnsi="Calibri"/>
          <w:b/>
          <w:sz w:val="22"/>
          <w:szCs w:val="22"/>
        </w:rPr>
      </w:pPr>
      <w:r>
        <w:rPr>
          <w:rFonts w:ascii="Calibri" w:hAnsi="Calibri"/>
          <w:b/>
          <w:sz w:val="22"/>
          <w:szCs w:val="22"/>
        </w:rPr>
        <w:t>Consultant Key tasks</w:t>
      </w:r>
    </w:p>
    <w:p w:rsidR="007D0A5A" w:rsidRPr="009F4391" w:rsidRDefault="007D0A5A" w:rsidP="001302ED">
      <w:pPr>
        <w:ind w:left="360"/>
        <w:jc w:val="both"/>
        <w:rPr>
          <w:rFonts w:ascii="Calibri" w:hAnsi="Calibri"/>
          <w:sz w:val="22"/>
          <w:szCs w:val="22"/>
        </w:rPr>
      </w:pPr>
    </w:p>
    <w:p w:rsidR="007D0A5A" w:rsidRPr="009F4391" w:rsidRDefault="007D0A5A" w:rsidP="00B43752">
      <w:pPr>
        <w:pStyle w:val="ListParagraph"/>
        <w:numPr>
          <w:ilvl w:val="0"/>
          <w:numId w:val="41"/>
        </w:numPr>
        <w:jc w:val="both"/>
        <w:rPr>
          <w:rFonts w:ascii="Calibri" w:hAnsi="Calibri"/>
          <w:sz w:val="22"/>
          <w:szCs w:val="22"/>
        </w:rPr>
      </w:pPr>
      <w:r>
        <w:rPr>
          <w:rFonts w:ascii="Calibri" w:hAnsi="Calibri"/>
          <w:sz w:val="22"/>
          <w:szCs w:val="22"/>
        </w:rPr>
        <w:t>In close consultation with the IFRC Community Based Disaster Preparedness</w:t>
      </w:r>
      <w:r w:rsidRPr="009F4391">
        <w:rPr>
          <w:rFonts w:ascii="Calibri" w:hAnsi="Calibri"/>
          <w:sz w:val="22"/>
          <w:szCs w:val="22"/>
        </w:rPr>
        <w:t xml:space="preserve"> </w:t>
      </w:r>
      <w:r>
        <w:rPr>
          <w:rFonts w:ascii="Calibri" w:hAnsi="Calibri"/>
          <w:sz w:val="22"/>
          <w:szCs w:val="22"/>
        </w:rPr>
        <w:t xml:space="preserve">Senior Officer, finalise the overall structure and content of the guidelines. </w:t>
      </w:r>
    </w:p>
    <w:p w:rsidR="007D0A5A" w:rsidRPr="009F4391" w:rsidRDefault="007D0A5A" w:rsidP="004538BB">
      <w:pPr>
        <w:numPr>
          <w:ilvl w:val="0"/>
          <w:numId w:val="41"/>
        </w:numPr>
        <w:jc w:val="both"/>
        <w:rPr>
          <w:rFonts w:ascii="Calibri" w:hAnsi="Calibri" w:cs="Arial"/>
          <w:sz w:val="22"/>
          <w:szCs w:val="22"/>
        </w:rPr>
      </w:pPr>
      <w:r>
        <w:rPr>
          <w:rFonts w:ascii="Calibri" w:hAnsi="Calibri" w:cs="Arial"/>
          <w:sz w:val="22"/>
          <w:szCs w:val="22"/>
        </w:rPr>
        <w:t>Review the key materials, documents, information available related to CBEWS from RC/</w:t>
      </w:r>
      <w:r w:rsidRPr="009F4391">
        <w:rPr>
          <w:rFonts w:ascii="Calibri" w:hAnsi="Calibri" w:cs="Arial"/>
          <w:sz w:val="22"/>
          <w:szCs w:val="22"/>
        </w:rPr>
        <w:t xml:space="preserve">RC and Other organizations.  </w:t>
      </w:r>
    </w:p>
    <w:p w:rsidR="007D0A5A" w:rsidRPr="009F4391" w:rsidRDefault="007D0A5A" w:rsidP="004538BB">
      <w:pPr>
        <w:pStyle w:val="ListParagraph"/>
        <w:numPr>
          <w:ilvl w:val="0"/>
          <w:numId w:val="41"/>
        </w:numPr>
        <w:jc w:val="both"/>
        <w:rPr>
          <w:rFonts w:ascii="Calibri" w:hAnsi="Calibri"/>
          <w:sz w:val="22"/>
          <w:szCs w:val="22"/>
        </w:rPr>
      </w:pPr>
      <w:r>
        <w:rPr>
          <w:rFonts w:ascii="Calibri" w:hAnsi="Calibri"/>
          <w:sz w:val="22"/>
          <w:szCs w:val="22"/>
        </w:rPr>
        <w:t>Research and include additional materials (including online resources) on slow onset and quick onset disasters.</w:t>
      </w:r>
    </w:p>
    <w:p w:rsidR="007D0A5A" w:rsidRPr="009F4391" w:rsidRDefault="007D0A5A" w:rsidP="004538BB">
      <w:pPr>
        <w:pStyle w:val="ListParagraph"/>
        <w:numPr>
          <w:ilvl w:val="0"/>
          <w:numId w:val="41"/>
        </w:numPr>
        <w:jc w:val="both"/>
        <w:rPr>
          <w:rFonts w:ascii="Calibri" w:hAnsi="Calibri" w:cs="Arial"/>
          <w:sz w:val="22"/>
          <w:szCs w:val="22"/>
        </w:rPr>
      </w:pPr>
      <w:r>
        <w:rPr>
          <w:rFonts w:ascii="Calibri" w:hAnsi="Calibri" w:cs="Arial"/>
          <w:sz w:val="22"/>
          <w:szCs w:val="22"/>
        </w:rPr>
        <w:t xml:space="preserve">Present an initial draft of the guidelines (with </w:t>
      </w:r>
      <w:r>
        <w:rPr>
          <w:rFonts w:ascii="Calibri" w:hAnsi="Calibri"/>
          <w:sz w:val="22"/>
          <w:szCs w:val="22"/>
        </w:rPr>
        <w:t>the format of standard RC/RC publications</w:t>
      </w:r>
      <w:r w:rsidDel="009A0CB2">
        <w:rPr>
          <w:rFonts w:ascii="Calibri" w:hAnsi="Calibri" w:cs="Arial"/>
          <w:sz w:val="22"/>
          <w:szCs w:val="22"/>
        </w:rPr>
        <w:t xml:space="preserve"> </w:t>
      </w:r>
      <w:r>
        <w:rPr>
          <w:rFonts w:ascii="Calibri" w:hAnsi="Calibri" w:cs="Arial"/>
          <w:sz w:val="22"/>
          <w:szCs w:val="22"/>
        </w:rPr>
        <w:t>)for discussion to the Community Preparedness and Risk Reduction Department and other selected departments</w:t>
      </w:r>
    </w:p>
    <w:p w:rsidR="007D0A5A" w:rsidRPr="009F4391" w:rsidRDefault="007D0A5A" w:rsidP="00B43752">
      <w:pPr>
        <w:pStyle w:val="ListParagraph"/>
        <w:numPr>
          <w:ilvl w:val="0"/>
          <w:numId w:val="41"/>
        </w:numPr>
        <w:jc w:val="both"/>
        <w:rPr>
          <w:rFonts w:ascii="Calibri" w:hAnsi="Calibri"/>
          <w:sz w:val="22"/>
          <w:szCs w:val="22"/>
        </w:rPr>
      </w:pPr>
      <w:r>
        <w:rPr>
          <w:rFonts w:ascii="Calibri" w:hAnsi="Calibri"/>
          <w:sz w:val="22"/>
          <w:szCs w:val="22"/>
        </w:rPr>
        <w:t>Incorporate feedback from the RC/RC into the guidelines and deliver the final document</w:t>
      </w:r>
    </w:p>
    <w:p w:rsidR="007D0A5A" w:rsidRPr="009F4391" w:rsidRDefault="007D0A5A" w:rsidP="004538BB">
      <w:pPr>
        <w:pStyle w:val="ListParagraph"/>
        <w:jc w:val="both"/>
        <w:rPr>
          <w:rFonts w:ascii="Calibri" w:hAnsi="Calibri"/>
          <w:sz w:val="22"/>
          <w:szCs w:val="22"/>
        </w:rPr>
      </w:pPr>
    </w:p>
    <w:p w:rsidR="007D0A5A" w:rsidRDefault="007D0A5A" w:rsidP="001C4CEC">
      <w:pPr>
        <w:jc w:val="both"/>
        <w:rPr>
          <w:rFonts w:ascii="Calibri" w:hAnsi="Calibri"/>
          <w:b/>
          <w:bCs/>
          <w:sz w:val="22"/>
          <w:szCs w:val="22"/>
        </w:rPr>
      </w:pPr>
      <w:r>
        <w:rPr>
          <w:rFonts w:ascii="Calibri" w:hAnsi="Calibri"/>
          <w:b/>
          <w:bCs/>
          <w:sz w:val="22"/>
          <w:szCs w:val="22"/>
        </w:rPr>
        <w:t>Expected outputs</w:t>
      </w:r>
    </w:p>
    <w:p w:rsidR="007D0A5A" w:rsidRPr="009F4391" w:rsidRDefault="007D0A5A" w:rsidP="001C4CEC">
      <w:pPr>
        <w:jc w:val="both"/>
        <w:rPr>
          <w:rFonts w:ascii="Calibri" w:hAnsi="Calibri"/>
          <w:b/>
          <w:bCs/>
          <w:sz w:val="22"/>
          <w:szCs w:val="22"/>
        </w:rPr>
      </w:pPr>
    </w:p>
    <w:p w:rsidR="007D0A5A" w:rsidRPr="009F4391" w:rsidRDefault="007D0A5A" w:rsidP="001C4CEC">
      <w:pPr>
        <w:jc w:val="both"/>
        <w:rPr>
          <w:rFonts w:ascii="Calibri" w:hAnsi="Calibri"/>
          <w:sz w:val="22"/>
          <w:szCs w:val="22"/>
        </w:rPr>
      </w:pPr>
      <w:r>
        <w:rPr>
          <w:rFonts w:ascii="Calibri" w:hAnsi="Calibri"/>
          <w:sz w:val="22"/>
          <w:szCs w:val="22"/>
        </w:rPr>
        <w:t>The Consultant shall be expected to deliver the following outputs:</w:t>
      </w:r>
    </w:p>
    <w:p w:rsidR="007D0A5A" w:rsidRPr="009F4391" w:rsidRDefault="007D0A5A" w:rsidP="001C4CEC">
      <w:pPr>
        <w:jc w:val="both"/>
        <w:rPr>
          <w:rFonts w:ascii="Calibri" w:hAnsi="Calibri"/>
          <w:sz w:val="22"/>
          <w:szCs w:val="22"/>
        </w:rPr>
      </w:pPr>
    </w:p>
    <w:p w:rsidR="007D0A5A" w:rsidRDefault="007D0A5A" w:rsidP="009C0AFF">
      <w:pPr>
        <w:jc w:val="both"/>
        <w:rPr>
          <w:rFonts w:ascii="Calibri" w:hAnsi="Calibri"/>
          <w:sz w:val="22"/>
          <w:szCs w:val="22"/>
        </w:rPr>
      </w:pPr>
      <w:r>
        <w:rPr>
          <w:rFonts w:ascii="Calibri" w:hAnsi="Calibri"/>
          <w:sz w:val="22"/>
          <w:szCs w:val="22"/>
        </w:rPr>
        <w:t>A final draft of “Guidelines for Developing a Community Based Early Warning System”. The guidelines should be simple, written in English in an accessible language and not longer than 50 pages, organized based on the following broad structure proposal. The consultant should present a new version after revised the information available:</w:t>
      </w:r>
    </w:p>
    <w:p w:rsidR="007D0A5A" w:rsidRDefault="007D0A5A" w:rsidP="009C0AFF">
      <w:pPr>
        <w:pStyle w:val="ListParagraph"/>
        <w:jc w:val="both"/>
        <w:rPr>
          <w:rFonts w:ascii="Calibri" w:hAnsi="Calibri"/>
          <w:sz w:val="22"/>
          <w:szCs w:val="22"/>
        </w:rPr>
      </w:pPr>
    </w:p>
    <w:p w:rsidR="007D0A5A" w:rsidRDefault="007D0A5A" w:rsidP="009C0AFF">
      <w:pPr>
        <w:pStyle w:val="ListParagraph"/>
        <w:numPr>
          <w:ilvl w:val="0"/>
          <w:numId w:val="51"/>
        </w:numPr>
        <w:jc w:val="both"/>
        <w:rPr>
          <w:rFonts w:ascii="Calibri" w:hAnsi="Calibri"/>
          <w:sz w:val="22"/>
          <w:szCs w:val="22"/>
        </w:rPr>
      </w:pPr>
      <w:r w:rsidRPr="007369D3">
        <w:rPr>
          <w:rFonts w:ascii="Calibri" w:hAnsi="Calibri"/>
          <w:sz w:val="22"/>
          <w:szCs w:val="22"/>
        </w:rPr>
        <w:t>Definitions of EWS</w:t>
      </w:r>
      <w:r>
        <w:rPr>
          <w:rFonts w:ascii="Calibri" w:hAnsi="Calibri"/>
          <w:sz w:val="22"/>
          <w:szCs w:val="22"/>
        </w:rPr>
        <w:t xml:space="preserve"> and main components </w:t>
      </w:r>
    </w:p>
    <w:p w:rsidR="007D0A5A" w:rsidRDefault="007D0A5A" w:rsidP="009C0AFF">
      <w:pPr>
        <w:pStyle w:val="ListParagraph"/>
        <w:numPr>
          <w:ilvl w:val="0"/>
          <w:numId w:val="51"/>
        </w:numPr>
        <w:jc w:val="both"/>
        <w:rPr>
          <w:rFonts w:ascii="Calibri" w:hAnsi="Calibri"/>
          <w:sz w:val="22"/>
          <w:szCs w:val="22"/>
        </w:rPr>
      </w:pPr>
      <w:r>
        <w:rPr>
          <w:rFonts w:ascii="Calibri" w:hAnsi="Calibri"/>
          <w:sz w:val="22"/>
          <w:szCs w:val="22"/>
        </w:rPr>
        <w:t>Types of Hazards</w:t>
      </w:r>
    </w:p>
    <w:p w:rsidR="007D0A5A" w:rsidRDefault="007D0A5A" w:rsidP="009C0AFF">
      <w:pPr>
        <w:pStyle w:val="ListParagraph"/>
        <w:numPr>
          <w:ilvl w:val="1"/>
          <w:numId w:val="51"/>
        </w:numPr>
        <w:jc w:val="both"/>
        <w:rPr>
          <w:rFonts w:ascii="Calibri" w:hAnsi="Calibri"/>
          <w:sz w:val="22"/>
          <w:szCs w:val="22"/>
        </w:rPr>
      </w:pPr>
      <w:r w:rsidRPr="00B72189">
        <w:rPr>
          <w:rFonts w:ascii="Calibri" w:hAnsi="Calibri"/>
          <w:sz w:val="22"/>
          <w:szCs w:val="22"/>
        </w:rPr>
        <w:t>Quick onset</w:t>
      </w:r>
    </w:p>
    <w:p w:rsidR="007D0A5A" w:rsidRDefault="007D0A5A" w:rsidP="009C0AFF">
      <w:pPr>
        <w:pStyle w:val="ListParagraph"/>
        <w:numPr>
          <w:ilvl w:val="1"/>
          <w:numId w:val="51"/>
        </w:numPr>
        <w:jc w:val="both"/>
        <w:rPr>
          <w:rFonts w:ascii="Calibri" w:hAnsi="Calibri"/>
          <w:sz w:val="22"/>
          <w:szCs w:val="22"/>
        </w:rPr>
      </w:pPr>
      <w:r w:rsidRPr="00B72189">
        <w:rPr>
          <w:rFonts w:ascii="Calibri" w:hAnsi="Calibri"/>
          <w:sz w:val="22"/>
          <w:szCs w:val="22"/>
        </w:rPr>
        <w:t>Slow onset</w:t>
      </w:r>
    </w:p>
    <w:p w:rsidR="007D0A5A" w:rsidRDefault="007D0A5A" w:rsidP="009C0AFF">
      <w:pPr>
        <w:pStyle w:val="ListParagraph"/>
        <w:numPr>
          <w:ilvl w:val="0"/>
          <w:numId w:val="51"/>
        </w:numPr>
        <w:jc w:val="both"/>
        <w:rPr>
          <w:rFonts w:ascii="Calibri" w:hAnsi="Calibri"/>
          <w:sz w:val="22"/>
          <w:szCs w:val="22"/>
        </w:rPr>
      </w:pPr>
      <w:r>
        <w:rPr>
          <w:rFonts w:ascii="Calibri" w:hAnsi="Calibri"/>
          <w:sz w:val="22"/>
          <w:szCs w:val="22"/>
        </w:rPr>
        <w:t>Early warning systems - c</w:t>
      </w:r>
      <w:r w:rsidRPr="007369D3">
        <w:rPr>
          <w:rFonts w:ascii="Calibri" w:hAnsi="Calibri"/>
          <w:sz w:val="22"/>
          <w:szCs w:val="22"/>
        </w:rPr>
        <w:t>haracteristics and interconnectedness of global, regional, national and community EWS</w:t>
      </w:r>
    </w:p>
    <w:p w:rsidR="007D0A5A" w:rsidRDefault="007D0A5A" w:rsidP="009C0AFF">
      <w:pPr>
        <w:pStyle w:val="ListParagraph"/>
        <w:numPr>
          <w:ilvl w:val="0"/>
          <w:numId w:val="51"/>
        </w:numPr>
        <w:jc w:val="both"/>
        <w:rPr>
          <w:rFonts w:ascii="Calibri" w:hAnsi="Calibri"/>
          <w:sz w:val="22"/>
          <w:szCs w:val="22"/>
        </w:rPr>
      </w:pPr>
      <w:r>
        <w:rPr>
          <w:rFonts w:ascii="Calibri" w:hAnsi="Calibri"/>
          <w:sz w:val="22"/>
          <w:szCs w:val="22"/>
        </w:rPr>
        <w:t>Definition of CBEWS main Components</w:t>
      </w:r>
    </w:p>
    <w:p w:rsidR="007D0A5A" w:rsidRPr="003840E8" w:rsidRDefault="007D0A5A" w:rsidP="003840E8">
      <w:pPr>
        <w:pStyle w:val="ListParagraph"/>
        <w:numPr>
          <w:ilvl w:val="0"/>
          <w:numId w:val="51"/>
        </w:numPr>
        <w:jc w:val="both"/>
        <w:rPr>
          <w:rFonts w:ascii="Calibri" w:hAnsi="Calibri"/>
          <w:sz w:val="22"/>
          <w:szCs w:val="22"/>
        </w:rPr>
      </w:pPr>
      <w:r w:rsidRPr="003840E8">
        <w:rPr>
          <w:rFonts w:ascii="Calibri" w:hAnsi="Calibri"/>
          <w:sz w:val="22"/>
          <w:szCs w:val="22"/>
        </w:rPr>
        <w:t>RCRC Involvement in CBEW</w:t>
      </w:r>
      <w:r>
        <w:rPr>
          <w:rFonts w:ascii="Calibri" w:hAnsi="Calibri"/>
          <w:sz w:val="22"/>
          <w:szCs w:val="22"/>
        </w:rPr>
        <w:t>S</w:t>
      </w:r>
    </w:p>
    <w:p w:rsidR="007D0A5A" w:rsidRDefault="007D0A5A" w:rsidP="009C0AFF">
      <w:pPr>
        <w:pStyle w:val="ListParagraph"/>
        <w:numPr>
          <w:ilvl w:val="0"/>
          <w:numId w:val="51"/>
        </w:numPr>
        <w:jc w:val="both"/>
        <w:rPr>
          <w:rFonts w:ascii="Calibri" w:hAnsi="Calibri"/>
          <w:sz w:val="22"/>
          <w:szCs w:val="22"/>
        </w:rPr>
      </w:pPr>
      <w:r>
        <w:rPr>
          <w:rFonts w:ascii="Calibri" w:hAnsi="Calibri"/>
          <w:sz w:val="22"/>
          <w:szCs w:val="22"/>
        </w:rPr>
        <w:t xml:space="preserve">Inventory of CBEWS - </w:t>
      </w:r>
      <w:r w:rsidRPr="00B72189">
        <w:rPr>
          <w:rFonts w:ascii="Calibri" w:hAnsi="Calibri"/>
          <w:sz w:val="22"/>
          <w:szCs w:val="22"/>
        </w:rPr>
        <w:t xml:space="preserve">short case studies of practical examples of RC/RC (or other organisations) </w:t>
      </w:r>
      <w:r>
        <w:rPr>
          <w:rFonts w:ascii="Calibri" w:hAnsi="Calibri"/>
          <w:sz w:val="22"/>
          <w:szCs w:val="22"/>
        </w:rPr>
        <w:t>CBEWS</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Floods and landslides</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Hurricanes</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Earthquakes and tsunamis</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Drought and famine</w:t>
      </w:r>
    </w:p>
    <w:p w:rsidR="007D0A5A" w:rsidRDefault="007D0A5A" w:rsidP="009C0AFF">
      <w:pPr>
        <w:pStyle w:val="ListParagraph"/>
        <w:numPr>
          <w:ilvl w:val="0"/>
          <w:numId w:val="51"/>
        </w:numPr>
        <w:jc w:val="both"/>
        <w:rPr>
          <w:rFonts w:ascii="Calibri" w:hAnsi="Calibri"/>
          <w:sz w:val="22"/>
          <w:szCs w:val="22"/>
        </w:rPr>
      </w:pPr>
      <w:r>
        <w:rPr>
          <w:rFonts w:ascii="Calibri" w:hAnsi="Calibri"/>
          <w:sz w:val="22"/>
          <w:szCs w:val="22"/>
        </w:rPr>
        <w:t>Operational aspects of CBEWS</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 xml:space="preserve">Establishment and maintenance </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Monitoring</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Alert and communication</w:t>
      </w:r>
    </w:p>
    <w:p w:rsidR="007D0A5A" w:rsidRDefault="007D0A5A" w:rsidP="009C0AFF">
      <w:pPr>
        <w:pStyle w:val="ListParagraph"/>
        <w:numPr>
          <w:ilvl w:val="1"/>
          <w:numId w:val="51"/>
        </w:numPr>
        <w:jc w:val="both"/>
        <w:rPr>
          <w:rFonts w:ascii="Calibri" w:hAnsi="Calibri"/>
          <w:sz w:val="22"/>
          <w:szCs w:val="22"/>
        </w:rPr>
      </w:pPr>
      <w:r>
        <w:rPr>
          <w:rFonts w:ascii="Calibri" w:hAnsi="Calibri"/>
          <w:sz w:val="22"/>
          <w:szCs w:val="22"/>
        </w:rPr>
        <w:t xml:space="preserve">Preparedness for response, and response </w:t>
      </w:r>
    </w:p>
    <w:p w:rsidR="007D0A5A" w:rsidRDefault="007D0A5A" w:rsidP="00EF429B">
      <w:pPr>
        <w:pStyle w:val="ListParagraph"/>
        <w:ind w:left="1440"/>
        <w:jc w:val="both"/>
        <w:rPr>
          <w:rFonts w:ascii="Calibri" w:hAnsi="Calibri"/>
          <w:sz w:val="22"/>
          <w:szCs w:val="22"/>
        </w:rPr>
      </w:pPr>
    </w:p>
    <w:p w:rsidR="007D0A5A" w:rsidRPr="009F4391" w:rsidRDefault="007D0A5A" w:rsidP="001C4CEC">
      <w:pPr>
        <w:jc w:val="both"/>
        <w:rPr>
          <w:rFonts w:ascii="Calibri" w:hAnsi="Calibri"/>
          <w:b/>
          <w:bCs/>
          <w:sz w:val="22"/>
          <w:szCs w:val="22"/>
        </w:rPr>
      </w:pPr>
      <w:r>
        <w:rPr>
          <w:rFonts w:ascii="Calibri" w:hAnsi="Calibri"/>
          <w:b/>
          <w:bCs/>
          <w:sz w:val="22"/>
          <w:szCs w:val="22"/>
        </w:rPr>
        <w:t>Duration and indicative schedule</w:t>
      </w:r>
    </w:p>
    <w:p w:rsidR="007D0A5A" w:rsidRPr="009F4391" w:rsidRDefault="007D0A5A" w:rsidP="00375962">
      <w:pPr>
        <w:autoSpaceDE w:val="0"/>
        <w:autoSpaceDN w:val="0"/>
        <w:adjustRightInd w:val="0"/>
        <w:spacing w:line="240" w:lineRule="atLeast"/>
        <w:jc w:val="both"/>
        <w:rPr>
          <w:rFonts w:ascii="Calibri" w:hAnsi="Calibri"/>
          <w:sz w:val="22"/>
          <w:szCs w:val="22"/>
        </w:rPr>
      </w:pPr>
      <w:r>
        <w:rPr>
          <w:rFonts w:ascii="Calibri" w:hAnsi="Calibri"/>
          <w:sz w:val="22"/>
          <w:szCs w:val="22"/>
        </w:rPr>
        <w:t xml:space="preserve">The consultant will present a detailed work plan for the development of the guidelines. The final product of the Consultancy should be completed by December 2011. </w:t>
      </w:r>
    </w:p>
    <w:p w:rsidR="007D0A5A" w:rsidRPr="009F4391" w:rsidRDefault="007D0A5A" w:rsidP="00375962">
      <w:pPr>
        <w:autoSpaceDE w:val="0"/>
        <w:autoSpaceDN w:val="0"/>
        <w:adjustRightInd w:val="0"/>
        <w:spacing w:line="240" w:lineRule="atLeast"/>
        <w:jc w:val="both"/>
        <w:rPr>
          <w:rFonts w:ascii="Calibri" w:hAnsi="Calibri"/>
          <w:sz w:val="22"/>
          <w:szCs w:val="22"/>
        </w:rPr>
      </w:pPr>
    </w:p>
    <w:p w:rsidR="007D0A5A" w:rsidRPr="009F4391" w:rsidRDefault="007D0A5A" w:rsidP="00DF0C50">
      <w:pPr>
        <w:pStyle w:val="BodyText"/>
        <w:numPr>
          <w:ilvl w:val="0"/>
          <w:numId w:val="46"/>
        </w:numPr>
        <w:rPr>
          <w:rFonts w:ascii="Calibri" w:eastAsia="MS Gothic" w:hAnsi="Calibri"/>
          <w:sz w:val="22"/>
          <w:szCs w:val="22"/>
        </w:rPr>
      </w:pPr>
      <w:r>
        <w:rPr>
          <w:rFonts w:ascii="Calibri" w:eastAsia="MS Gothic" w:hAnsi="Calibri"/>
          <w:sz w:val="22"/>
          <w:szCs w:val="22"/>
        </w:rPr>
        <w:t>Draft guidelines, by 30 November 2011</w:t>
      </w:r>
    </w:p>
    <w:p w:rsidR="007D0A5A" w:rsidRPr="009F4391" w:rsidRDefault="007D0A5A" w:rsidP="00DF0C50">
      <w:pPr>
        <w:pStyle w:val="BodyText"/>
        <w:numPr>
          <w:ilvl w:val="0"/>
          <w:numId w:val="46"/>
        </w:numPr>
        <w:rPr>
          <w:rFonts w:ascii="Calibri" w:eastAsia="MS Gothic" w:hAnsi="Calibri"/>
          <w:sz w:val="22"/>
          <w:szCs w:val="22"/>
        </w:rPr>
      </w:pPr>
      <w:r>
        <w:rPr>
          <w:rFonts w:ascii="Calibri" w:eastAsia="MS Gothic" w:hAnsi="Calibri"/>
          <w:sz w:val="22"/>
          <w:szCs w:val="22"/>
        </w:rPr>
        <w:t>Final guidelines by 30 December 2011</w:t>
      </w:r>
    </w:p>
    <w:p w:rsidR="007D0A5A" w:rsidRPr="009F4391" w:rsidRDefault="007D0A5A" w:rsidP="00375962">
      <w:pPr>
        <w:autoSpaceDE w:val="0"/>
        <w:autoSpaceDN w:val="0"/>
        <w:adjustRightInd w:val="0"/>
        <w:spacing w:line="240" w:lineRule="atLeast"/>
        <w:jc w:val="both"/>
        <w:rPr>
          <w:rFonts w:ascii="Calibri" w:hAnsi="Calibri"/>
          <w:sz w:val="22"/>
          <w:szCs w:val="22"/>
        </w:rPr>
      </w:pPr>
    </w:p>
    <w:p w:rsidR="007D0A5A" w:rsidRPr="009F4391" w:rsidRDefault="007D0A5A" w:rsidP="00C3149B">
      <w:pPr>
        <w:tabs>
          <w:tab w:val="left" w:pos="489"/>
        </w:tabs>
        <w:jc w:val="both"/>
        <w:rPr>
          <w:rFonts w:ascii="Calibri" w:hAnsi="Calibri"/>
          <w:sz w:val="22"/>
          <w:szCs w:val="22"/>
        </w:rPr>
      </w:pPr>
      <w:r w:rsidRPr="009C26BF">
        <w:rPr>
          <w:rFonts w:ascii="Calibri" w:hAnsi="Calibri"/>
          <w:b/>
          <w:bCs/>
          <w:sz w:val="22"/>
          <w:szCs w:val="22"/>
        </w:rPr>
        <w:t>Management</w:t>
      </w:r>
    </w:p>
    <w:p w:rsidR="007D0A5A" w:rsidRPr="009F4391" w:rsidRDefault="007D0A5A" w:rsidP="001C4CEC">
      <w:pPr>
        <w:jc w:val="both"/>
        <w:rPr>
          <w:rFonts w:ascii="Calibri" w:hAnsi="Calibri"/>
          <w:sz w:val="22"/>
          <w:szCs w:val="22"/>
        </w:rPr>
      </w:pPr>
      <w:r w:rsidRPr="009C26BF">
        <w:rPr>
          <w:rFonts w:ascii="Calibri" w:hAnsi="Calibri"/>
          <w:sz w:val="22"/>
          <w:szCs w:val="22"/>
        </w:rPr>
        <w:t>The consultant will be hired by and report to the</w:t>
      </w:r>
      <w:r w:rsidRPr="009F4391">
        <w:rPr>
          <w:rFonts w:ascii="Calibri" w:hAnsi="Calibri"/>
          <w:sz w:val="22"/>
          <w:szCs w:val="22"/>
        </w:rPr>
        <w:t xml:space="preserve"> </w:t>
      </w:r>
      <w:r>
        <w:rPr>
          <w:rFonts w:ascii="Calibri" w:hAnsi="Calibri"/>
          <w:sz w:val="22"/>
          <w:szCs w:val="22"/>
        </w:rPr>
        <w:t xml:space="preserve">Head, Community Preparedness and Risk Reduction Department. </w:t>
      </w:r>
      <w:r w:rsidRPr="009C26BF">
        <w:rPr>
          <w:rFonts w:ascii="Calibri" w:hAnsi="Calibri"/>
          <w:sz w:val="22"/>
          <w:szCs w:val="22"/>
        </w:rPr>
        <w:t xml:space="preserve">Day to day reporting lines will be to the </w:t>
      </w:r>
      <w:r w:rsidRPr="009F4391">
        <w:rPr>
          <w:rFonts w:ascii="Calibri" w:hAnsi="Calibri"/>
          <w:sz w:val="22"/>
          <w:szCs w:val="22"/>
        </w:rPr>
        <w:t xml:space="preserve">Senior Officer, </w:t>
      </w:r>
      <w:r>
        <w:rPr>
          <w:rFonts w:ascii="Calibri" w:hAnsi="Calibri"/>
          <w:sz w:val="22"/>
          <w:szCs w:val="22"/>
        </w:rPr>
        <w:t>Community Based Disaster Preparedness.</w:t>
      </w:r>
    </w:p>
    <w:p w:rsidR="007D0A5A" w:rsidRPr="009F4391" w:rsidRDefault="007D0A5A" w:rsidP="00B36D9D">
      <w:pPr>
        <w:rPr>
          <w:rFonts w:ascii="Calibri" w:hAnsi="Calibri"/>
          <w:b/>
          <w:bCs/>
          <w:sz w:val="22"/>
          <w:szCs w:val="22"/>
        </w:rPr>
      </w:pPr>
    </w:p>
    <w:p w:rsidR="007D0A5A" w:rsidRPr="009F4391" w:rsidRDefault="007D0A5A" w:rsidP="00B36D9D">
      <w:pPr>
        <w:rPr>
          <w:rFonts w:ascii="Calibri" w:hAnsi="Calibri"/>
          <w:b/>
          <w:bCs/>
          <w:sz w:val="22"/>
          <w:szCs w:val="22"/>
        </w:rPr>
      </w:pPr>
      <w:r>
        <w:rPr>
          <w:rFonts w:ascii="Calibri" w:hAnsi="Calibri"/>
          <w:b/>
          <w:bCs/>
          <w:sz w:val="22"/>
          <w:szCs w:val="22"/>
        </w:rPr>
        <w:t>Selection criteria</w:t>
      </w:r>
    </w:p>
    <w:p w:rsidR="007D0A5A" w:rsidRPr="009F4391" w:rsidRDefault="007D0A5A" w:rsidP="001C4CEC">
      <w:pPr>
        <w:jc w:val="both"/>
        <w:rPr>
          <w:rFonts w:ascii="Calibri" w:hAnsi="Calibri"/>
          <w:sz w:val="22"/>
          <w:szCs w:val="22"/>
        </w:rPr>
      </w:pPr>
      <w:r w:rsidRPr="009C26BF">
        <w:rPr>
          <w:rFonts w:ascii="Calibri" w:hAnsi="Calibri"/>
          <w:sz w:val="22"/>
          <w:szCs w:val="22"/>
        </w:rPr>
        <w:t xml:space="preserve">The criteria to be used for the selection of the consultant shall include: </w:t>
      </w:r>
    </w:p>
    <w:p w:rsidR="007D0A5A" w:rsidRPr="009F4391" w:rsidRDefault="007D0A5A" w:rsidP="001C4CEC">
      <w:pPr>
        <w:jc w:val="both"/>
        <w:rPr>
          <w:rFonts w:ascii="Calibri" w:hAnsi="Calibri"/>
          <w:sz w:val="22"/>
          <w:szCs w:val="22"/>
        </w:rPr>
      </w:pPr>
    </w:p>
    <w:p w:rsidR="007D0A5A" w:rsidRPr="009F4391" w:rsidRDefault="007D0A5A" w:rsidP="001C4CEC">
      <w:pPr>
        <w:numPr>
          <w:ilvl w:val="0"/>
          <w:numId w:val="19"/>
        </w:numPr>
        <w:jc w:val="both"/>
        <w:rPr>
          <w:rFonts w:ascii="Calibri" w:hAnsi="Calibri"/>
          <w:sz w:val="22"/>
          <w:szCs w:val="22"/>
        </w:rPr>
      </w:pPr>
      <w:r w:rsidRPr="009F4391">
        <w:rPr>
          <w:rFonts w:ascii="Calibri" w:hAnsi="Calibri"/>
          <w:sz w:val="22"/>
          <w:szCs w:val="22"/>
        </w:rPr>
        <w:t>7-</w:t>
      </w:r>
      <w:r>
        <w:rPr>
          <w:rFonts w:ascii="Calibri" w:hAnsi="Calibri"/>
          <w:sz w:val="22"/>
          <w:szCs w:val="22"/>
        </w:rPr>
        <w:t>10 years of experience working with a humanitarian organisation at the community level (on early warning and disaster preparedness).</w:t>
      </w:r>
    </w:p>
    <w:p w:rsidR="007D0A5A" w:rsidRPr="009F4391" w:rsidRDefault="007D0A5A" w:rsidP="00B36D9D">
      <w:pPr>
        <w:numPr>
          <w:ilvl w:val="0"/>
          <w:numId w:val="19"/>
        </w:numPr>
        <w:jc w:val="both"/>
        <w:rPr>
          <w:rFonts w:ascii="Calibri" w:hAnsi="Calibri"/>
          <w:sz w:val="22"/>
          <w:szCs w:val="22"/>
        </w:rPr>
      </w:pPr>
      <w:r>
        <w:rPr>
          <w:rFonts w:ascii="Calibri" w:hAnsi="Calibri"/>
          <w:sz w:val="22"/>
          <w:szCs w:val="22"/>
        </w:rPr>
        <w:t>At least 3 years prior experience of working on CBEWS</w:t>
      </w:r>
    </w:p>
    <w:p w:rsidR="007D0A5A" w:rsidRPr="009F4391" w:rsidRDefault="007D0A5A" w:rsidP="00B36D9D">
      <w:pPr>
        <w:numPr>
          <w:ilvl w:val="0"/>
          <w:numId w:val="19"/>
        </w:numPr>
        <w:autoSpaceDE w:val="0"/>
        <w:autoSpaceDN w:val="0"/>
        <w:adjustRightInd w:val="0"/>
        <w:spacing w:line="240" w:lineRule="atLeast"/>
        <w:rPr>
          <w:rFonts w:ascii="Calibri" w:hAnsi="Calibri" w:cs="Helv"/>
          <w:sz w:val="22"/>
          <w:szCs w:val="22"/>
        </w:rPr>
      </w:pPr>
      <w:r w:rsidRPr="009C26BF">
        <w:rPr>
          <w:rFonts w:ascii="Calibri" w:hAnsi="Calibri" w:cs="Helv"/>
          <w:sz w:val="22"/>
          <w:szCs w:val="22"/>
        </w:rPr>
        <w:t xml:space="preserve">Strong publications experience </w:t>
      </w:r>
    </w:p>
    <w:p w:rsidR="007D0A5A" w:rsidRPr="009F4391" w:rsidRDefault="007D0A5A" w:rsidP="00B36D9D">
      <w:pPr>
        <w:numPr>
          <w:ilvl w:val="0"/>
          <w:numId w:val="19"/>
        </w:numPr>
        <w:autoSpaceDE w:val="0"/>
        <w:autoSpaceDN w:val="0"/>
        <w:adjustRightInd w:val="0"/>
        <w:spacing w:line="240" w:lineRule="atLeast"/>
        <w:rPr>
          <w:rFonts w:ascii="Calibri" w:hAnsi="Calibri" w:cs="Helv"/>
          <w:sz w:val="22"/>
          <w:szCs w:val="22"/>
        </w:rPr>
      </w:pPr>
      <w:r w:rsidRPr="009C26BF">
        <w:rPr>
          <w:rFonts w:ascii="Calibri" w:hAnsi="Calibri" w:cs="Helv"/>
          <w:sz w:val="22"/>
          <w:szCs w:val="22"/>
        </w:rPr>
        <w:t xml:space="preserve">Excellent analytical and writing skills </w:t>
      </w:r>
    </w:p>
    <w:p w:rsidR="007D0A5A" w:rsidRDefault="007D0A5A" w:rsidP="00B36D9D">
      <w:pPr>
        <w:numPr>
          <w:ilvl w:val="0"/>
          <w:numId w:val="19"/>
        </w:numPr>
        <w:jc w:val="both"/>
        <w:rPr>
          <w:rFonts w:ascii="Calibri" w:hAnsi="Calibri"/>
          <w:sz w:val="22"/>
          <w:szCs w:val="22"/>
        </w:rPr>
      </w:pPr>
      <w:r w:rsidRPr="009F4391">
        <w:rPr>
          <w:rFonts w:ascii="Calibri" w:hAnsi="Calibri"/>
          <w:sz w:val="22"/>
          <w:szCs w:val="22"/>
        </w:rPr>
        <w:t>Prior knowledge and experience of RC/RC work is preferable.</w:t>
      </w:r>
    </w:p>
    <w:p w:rsidR="007D0A5A" w:rsidRPr="006A144D" w:rsidRDefault="007D0A5A" w:rsidP="00846265">
      <w:pPr>
        <w:jc w:val="both"/>
        <w:rPr>
          <w:rFonts w:ascii="Calibri" w:hAnsi="Calibri"/>
          <w:sz w:val="22"/>
          <w:szCs w:val="22"/>
        </w:rPr>
      </w:pPr>
    </w:p>
    <w:p w:rsidR="007D0A5A" w:rsidRPr="00277A34" w:rsidRDefault="007D0A5A" w:rsidP="00846265">
      <w:pPr>
        <w:jc w:val="both"/>
        <w:rPr>
          <w:rFonts w:ascii="Calibri" w:hAnsi="Calibri"/>
          <w:b/>
          <w:sz w:val="22"/>
          <w:szCs w:val="22"/>
        </w:rPr>
      </w:pPr>
      <w:r w:rsidRPr="00277A34">
        <w:rPr>
          <w:rFonts w:ascii="Calibri" w:hAnsi="Calibri"/>
          <w:b/>
          <w:sz w:val="22"/>
          <w:szCs w:val="22"/>
        </w:rPr>
        <w:t>Technical proposal</w:t>
      </w:r>
    </w:p>
    <w:p w:rsidR="007D0A5A" w:rsidRDefault="007D0A5A" w:rsidP="006A144D">
      <w:pPr>
        <w:autoSpaceDE w:val="0"/>
        <w:autoSpaceDN w:val="0"/>
        <w:adjustRightInd w:val="0"/>
        <w:rPr>
          <w:rFonts w:ascii="Calibri" w:hAnsi="Calibri" w:cs="Arial"/>
          <w:sz w:val="22"/>
          <w:szCs w:val="22"/>
          <w:lang w:eastAsia="en-GB"/>
        </w:rPr>
      </w:pPr>
      <w:r w:rsidRPr="006A144D">
        <w:rPr>
          <w:rFonts w:ascii="Calibri" w:hAnsi="Calibri" w:cs="Arial"/>
          <w:sz w:val="22"/>
          <w:szCs w:val="22"/>
          <w:lang w:eastAsia="en-GB"/>
        </w:rPr>
        <w:t>The technical proposal should be accompanied by a completed submission form and should address</w:t>
      </w:r>
      <w:r>
        <w:rPr>
          <w:rFonts w:ascii="Calibri" w:hAnsi="Calibri" w:cs="Arial"/>
          <w:sz w:val="22"/>
          <w:szCs w:val="22"/>
          <w:lang w:eastAsia="en-GB"/>
        </w:rPr>
        <w:t xml:space="preserve"> before October the 28</w:t>
      </w:r>
      <w:r w:rsidRPr="00277A34">
        <w:rPr>
          <w:rFonts w:ascii="Calibri" w:hAnsi="Calibri" w:cs="Arial"/>
          <w:sz w:val="22"/>
          <w:szCs w:val="22"/>
          <w:vertAlign w:val="superscript"/>
          <w:lang w:eastAsia="en-GB"/>
        </w:rPr>
        <w:t>th</w:t>
      </w:r>
      <w:r>
        <w:rPr>
          <w:rFonts w:ascii="Calibri" w:hAnsi="Calibri" w:cs="Arial"/>
          <w:sz w:val="22"/>
          <w:szCs w:val="22"/>
          <w:vertAlign w:val="superscript"/>
          <w:lang w:eastAsia="en-GB"/>
        </w:rPr>
        <w:t xml:space="preserve">  </w:t>
      </w:r>
      <w:r>
        <w:rPr>
          <w:rFonts w:ascii="Calibri" w:hAnsi="Calibri" w:cs="Arial"/>
          <w:sz w:val="22"/>
          <w:szCs w:val="22"/>
          <w:lang w:eastAsia="en-GB"/>
        </w:rPr>
        <w:t xml:space="preserve"> 17:00 h Geneva Time:</w:t>
      </w:r>
    </w:p>
    <w:p w:rsidR="007D0A5A" w:rsidRPr="006A144D" w:rsidRDefault="007D0A5A" w:rsidP="006A144D">
      <w:pPr>
        <w:autoSpaceDE w:val="0"/>
        <w:autoSpaceDN w:val="0"/>
        <w:adjustRightInd w:val="0"/>
        <w:rPr>
          <w:rFonts w:ascii="Calibri" w:hAnsi="Calibri" w:cs="Arial"/>
          <w:sz w:val="22"/>
          <w:szCs w:val="22"/>
          <w:lang w:eastAsia="en-GB"/>
        </w:rPr>
      </w:pPr>
    </w:p>
    <w:p w:rsidR="007D0A5A" w:rsidRPr="006A144D" w:rsidRDefault="007D0A5A" w:rsidP="006A144D">
      <w:pPr>
        <w:autoSpaceDE w:val="0"/>
        <w:autoSpaceDN w:val="0"/>
        <w:adjustRightInd w:val="0"/>
        <w:rPr>
          <w:rFonts w:ascii="Calibri" w:hAnsi="Calibri" w:cs="Arial"/>
          <w:sz w:val="22"/>
          <w:szCs w:val="22"/>
          <w:lang w:eastAsia="en-GB"/>
        </w:rPr>
      </w:pPr>
      <w:r w:rsidRPr="006A144D">
        <w:rPr>
          <w:rFonts w:ascii="Calibri" w:hAnsi="Calibri" w:cs="Arial"/>
          <w:sz w:val="22"/>
          <w:szCs w:val="22"/>
          <w:lang w:eastAsia="en-GB"/>
        </w:rPr>
        <w:t xml:space="preserve">a. </w:t>
      </w:r>
      <w:r>
        <w:rPr>
          <w:rFonts w:ascii="Calibri" w:hAnsi="Calibri" w:cs="Arial"/>
          <w:sz w:val="22"/>
          <w:szCs w:val="22"/>
          <w:lang w:eastAsia="en-GB"/>
        </w:rPr>
        <w:t>T</w:t>
      </w:r>
      <w:r w:rsidRPr="006A144D">
        <w:rPr>
          <w:rFonts w:ascii="Calibri" w:hAnsi="Calibri" w:cs="Arial"/>
          <w:sz w:val="22"/>
          <w:szCs w:val="22"/>
          <w:lang w:eastAsia="en-GB"/>
        </w:rPr>
        <w:t>he Consultant’s Organization and Experience;</w:t>
      </w:r>
    </w:p>
    <w:p w:rsidR="007D0A5A" w:rsidRPr="006A144D" w:rsidRDefault="007D0A5A" w:rsidP="006A144D">
      <w:pPr>
        <w:autoSpaceDE w:val="0"/>
        <w:autoSpaceDN w:val="0"/>
        <w:adjustRightInd w:val="0"/>
        <w:rPr>
          <w:rFonts w:ascii="Calibri" w:hAnsi="Calibri" w:cs="Arial"/>
          <w:sz w:val="22"/>
          <w:szCs w:val="22"/>
          <w:lang w:eastAsia="en-GB"/>
        </w:rPr>
      </w:pPr>
      <w:r w:rsidRPr="006A144D">
        <w:rPr>
          <w:rFonts w:ascii="Calibri" w:hAnsi="Calibri" w:cs="Arial"/>
          <w:sz w:val="22"/>
          <w:szCs w:val="22"/>
          <w:lang w:eastAsia="en-GB"/>
        </w:rPr>
        <w:t>b. Comments or Suggestions on the Terms of Reference;</w:t>
      </w:r>
    </w:p>
    <w:p w:rsidR="007D0A5A" w:rsidRPr="00277A34" w:rsidRDefault="007D0A5A" w:rsidP="006A144D">
      <w:pPr>
        <w:autoSpaceDE w:val="0"/>
        <w:autoSpaceDN w:val="0"/>
        <w:adjustRightInd w:val="0"/>
        <w:rPr>
          <w:rFonts w:ascii="Calibri" w:hAnsi="Calibri" w:cs="Arial"/>
          <w:sz w:val="22"/>
          <w:szCs w:val="22"/>
          <w:lang w:eastAsia="en-GB"/>
        </w:rPr>
      </w:pPr>
      <w:r w:rsidRPr="00277A34">
        <w:rPr>
          <w:rFonts w:ascii="Calibri" w:hAnsi="Calibri" w:cs="Arial"/>
          <w:sz w:val="22"/>
          <w:szCs w:val="22"/>
          <w:lang w:eastAsia="en-GB"/>
        </w:rPr>
        <w:t>c. Description of the Approach, Methodology and Work Plan for Performing the</w:t>
      </w:r>
    </w:p>
    <w:p w:rsidR="007D0A5A" w:rsidRPr="00277A34" w:rsidRDefault="007D0A5A" w:rsidP="006A144D">
      <w:pPr>
        <w:autoSpaceDE w:val="0"/>
        <w:autoSpaceDN w:val="0"/>
        <w:adjustRightInd w:val="0"/>
        <w:rPr>
          <w:rFonts w:ascii="Calibri" w:hAnsi="Calibri" w:cs="Arial"/>
          <w:sz w:val="22"/>
          <w:szCs w:val="22"/>
          <w:lang w:eastAsia="en-GB"/>
        </w:rPr>
      </w:pPr>
      <w:r w:rsidRPr="00277A34">
        <w:rPr>
          <w:rFonts w:ascii="Calibri" w:hAnsi="Calibri" w:cs="Arial"/>
          <w:sz w:val="22"/>
          <w:szCs w:val="22"/>
          <w:lang w:eastAsia="en-GB"/>
        </w:rPr>
        <w:t>Assignment;</w:t>
      </w:r>
    </w:p>
    <w:p w:rsidR="007D0A5A" w:rsidRPr="00277A34" w:rsidRDefault="007D0A5A" w:rsidP="006A144D">
      <w:pPr>
        <w:autoSpaceDE w:val="0"/>
        <w:autoSpaceDN w:val="0"/>
        <w:adjustRightInd w:val="0"/>
        <w:rPr>
          <w:rFonts w:ascii="Calibri" w:hAnsi="Calibri" w:cs="Arial"/>
          <w:sz w:val="22"/>
          <w:szCs w:val="22"/>
          <w:lang w:eastAsia="en-GB"/>
        </w:rPr>
      </w:pPr>
      <w:r w:rsidRPr="00277A34">
        <w:rPr>
          <w:rFonts w:ascii="Calibri" w:hAnsi="Calibri" w:cs="Arial"/>
          <w:sz w:val="22"/>
          <w:szCs w:val="22"/>
          <w:lang w:eastAsia="en-GB"/>
        </w:rPr>
        <w:t>d. Team Composition and Task Assignments;</w:t>
      </w:r>
    </w:p>
    <w:p w:rsidR="007D0A5A" w:rsidRPr="00277A34" w:rsidRDefault="007D0A5A" w:rsidP="006A144D">
      <w:pPr>
        <w:autoSpaceDE w:val="0"/>
        <w:autoSpaceDN w:val="0"/>
        <w:adjustRightInd w:val="0"/>
        <w:rPr>
          <w:rFonts w:ascii="Calibri" w:hAnsi="Calibri" w:cs="Arial"/>
          <w:sz w:val="22"/>
          <w:szCs w:val="22"/>
          <w:lang w:eastAsia="en-GB"/>
        </w:rPr>
      </w:pPr>
      <w:r w:rsidRPr="00277A34">
        <w:rPr>
          <w:rFonts w:ascii="Calibri" w:hAnsi="Calibri" w:cs="Arial"/>
          <w:sz w:val="22"/>
          <w:szCs w:val="22"/>
          <w:lang w:eastAsia="en-GB"/>
        </w:rPr>
        <w:t>e. Curriculum Vitae (CV) for Proposed Professional Staff;</w:t>
      </w:r>
    </w:p>
    <w:p w:rsidR="007D0A5A" w:rsidRPr="00277A34" w:rsidRDefault="007D0A5A" w:rsidP="006A144D">
      <w:pPr>
        <w:autoSpaceDE w:val="0"/>
        <w:autoSpaceDN w:val="0"/>
        <w:adjustRightInd w:val="0"/>
        <w:rPr>
          <w:rFonts w:ascii="Calibri" w:hAnsi="Calibri"/>
          <w:sz w:val="22"/>
          <w:szCs w:val="22"/>
          <w:lang w:eastAsia="en-GB"/>
        </w:rPr>
      </w:pPr>
      <w:r w:rsidRPr="00277A34">
        <w:rPr>
          <w:rFonts w:ascii="Calibri" w:hAnsi="Calibri"/>
          <w:sz w:val="22"/>
          <w:szCs w:val="22"/>
          <w:lang w:eastAsia="en-GB"/>
        </w:rPr>
        <w:t>f. Staffing Schedule; and</w:t>
      </w:r>
    </w:p>
    <w:p w:rsidR="007D0A5A" w:rsidRPr="00277A34" w:rsidRDefault="007D0A5A" w:rsidP="006A144D">
      <w:pPr>
        <w:jc w:val="both"/>
        <w:rPr>
          <w:rFonts w:ascii="Calibri" w:hAnsi="Calibri"/>
          <w:sz w:val="22"/>
          <w:szCs w:val="22"/>
          <w:lang w:eastAsia="en-GB"/>
        </w:rPr>
      </w:pPr>
      <w:r w:rsidRPr="00277A34">
        <w:rPr>
          <w:rFonts w:ascii="Calibri" w:hAnsi="Calibri"/>
          <w:sz w:val="22"/>
          <w:szCs w:val="22"/>
          <w:lang w:eastAsia="en-GB"/>
        </w:rPr>
        <w:t>g. Work Schedule.</w:t>
      </w:r>
    </w:p>
    <w:p w:rsidR="007D0A5A" w:rsidRDefault="007D0A5A" w:rsidP="006A144D">
      <w:pPr>
        <w:jc w:val="both"/>
        <w:rPr>
          <w:rFonts w:ascii="Calibri" w:hAnsi="Calibri"/>
          <w:sz w:val="22"/>
          <w:szCs w:val="22"/>
        </w:rPr>
      </w:pPr>
    </w:p>
    <w:p w:rsidR="007D0A5A" w:rsidRPr="00846265" w:rsidRDefault="007D0A5A" w:rsidP="00846265">
      <w:pPr>
        <w:jc w:val="both"/>
        <w:rPr>
          <w:rFonts w:ascii="Calibri" w:hAnsi="Calibri"/>
          <w:sz w:val="22"/>
          <w:szCs w:val="22"/>
        </w:rPr>
      </w:pPr>
      <w:r w:rsidRPr="00846265">
        <w:rPr>
          <w:rFonts w:ascii="Calibri" w:hAnsi="Calibri"/>
          <w:sz w:val="22"/>
          <w:szCs w:val="22"/>
        </w:rPr>
        <w:t xml:space="preserve">Contact person: Marjorie Soto Franco </w:t>
      </w:r>
      <w:hyperlink r:id="rId8" w:history="1">
        <w:r w:rsidRPr="00846265">
          <w:rPr>
            <w:rStyle w:val="Hyperlink"/>
            <w:rFonts w:ascii="Calibri" w:hAnsi="Calibri"/>
            <w:sz w:val="22"/>
            <w:szCs w:val="22"/>
          </w:rPr>
          <w:t>Marjorie.sotofranco@ifrc.org</w:t>
        </w:r>
      </w:hyperlink>
      <w:r w:rsidRPr="00846265">
        <w:rPr>
          <w:rFonts w:ascii="Calibri" w:hAnsi="Calibri"/>
          <w:sz w:val="22"/>
          <w:szCs w:val="22"/>
        </w:rPr>
        <w:t xml:space="preserve">  Community preparedness and Risk Reduction Department. </w:t>
      </w:r>
    </w:p>
    <w:p w:rsidR="007D0A5A" w:rsidRPr="00846265" w:rsidRDefault="007D0A5A" w:rsidP="00787D54">
      <w:pPr>
        <w:autoSpaceDE w:val="0"/>
        <w:autoSpaceDN w:val="0"/>
        <w:adjustRightInd w:val="0"/>
        <w:spacing w:line="240" w:lineRule="atLeast"/>
        <w:jc w:val="both"/>
        <w:rPr>
          <w:rFonts w:ascii="Calibri" w:hAnsi="Calibri"/>
          <w:b/>
          <w:sz w:val="22"/>
          <w:szCs w:val="22"/>
        </w:rPr>
      </w:pPr>
    </w:p>
    <w:p w:rsidR="007D0A5A" w:rsidRPr="00846265" w:rsidRDefault="007D0A5A" w:rsidP="00787D54">
      <w:pPr>
        <w:autoSpaceDE w:val="0"/>
        <w:autoSpaceDN w:val="0"/>
        <w:adjustRightInd w:val="0"/>
        <w:spacing w:line="240" w:lineRule="atLeast"/>
        <w:jc w:val="both"/>
        <w:rPr>
          <w:rFonts w:ascii="Calibri" w:hAnsi="Calibri"/>
          <w:b/>
          <w:sz w:val="22"/>
          <w:szCs w:val="22"/>
        </w:rPr>
      </w:pPr>
    </w:p>
    <w:p w:rsidR="007D0A5A" w:rsidRPr="009F4391" w:rsidRDefault="007D0A5A" w:rsidP="00787D54">
      <w:pPr>
        <w:autoSpaceDE w:val="0"/>
        <w:autoSpaceDN w:val="0"/>
        <w:adjustRightInd w:val="0"/>
        <w:spacing w:line="240" w:lineRule="atLeast"/>
        <w:jc w:val="both"/>
        <w:rPr>
          <w:rFonts w:ascii="Calibri" w:hAnsi="Calibri"/>
          <w:sz w:val="22"/>
          <w:szCs w:val="22"/>
        </w:rPr>
      </w:pPr>
      <w:r>
        <w:rPr>
          <w:rFonts w:ascii="Calibri" w:hAnsi="Calibri"/>
          <w:sz w:val="22"/>
          <w:szCs w:val="22"/>
        </w:rPr>
        <w:t>Revised October 2011</w:t>
      </w:r>
    </w:p>
    <w:p w:rsidR="007D0A5A" w:rsidRPr="009F4391" w:rsidRDefault="007D0A5A" w:rsidP="00D75F57">
      <w:pPr>
        <w:jc w:val="both"/>
        <w:rPr>
          <w:rFonts w:ascii="Calibri" w:hAnsi="Calibri"/>
          <w:sz w:val="22"/>
          <w:szCs w:val="22"/>
        </w:rPr>
      </w:pPr>
    </w:p>
    <w:p w:rsidR="007D0A5A" w:rsidRPr="009F4391" w:rsidRDefault="007D0A5A" w:rsidP="00D75F57">
      <w:pPr>
        <w:jc w:val="both"/>
        <w:rPr>
          <w:rFonts w:ascii="Calibri" w:hAnsi="Calibri"/>
          <w:sz w:val="22"/>
          <w:szCs w:val="22"/>
        </w:rPr>
      </w:pPr>
    </w:p>
    <w:sectPr w:rsidR="007D0A5A" w:rsidRPr="009F4391" w:rsidSect="001C4CEC">
      <w:footerReference w:type="default" r:id="rId9"/>
      <w:pgSz w:w="11906" w:h="16838" w:code="9"/>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5A" w:rsidRDefault="007D0A5A">
      <w:r>
        <w:separator/>
      </w:r>
    </w:p>
  </w:endnote>
  <w:endnote w:type="continuationSeparator" w:id="0">
    <w:p w:rsidR="007D0A5A" w:rsidRDefault="007D0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MS Gothic">
    <w:altName w:val="?l?r ?S?V?b?N"/>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5A" w:rsidRPr="00CF2F9C" w:rsidRDefault="007D0A5A" w:rsidP="001C4CEC">
    <w:pPr>
      <w:pStyle w:val="Footer"/>
      <w:tabs>
        <w:tab w:val="clear" w:pos="8306"/>
        <w:tab w:val="right" w:pos="9540"/>
      </w:tabs>
      <w:rPr>
        <w:rFonts w:ascii="Arial" w:hAnsi="Arial" w:cs="Arial"/>
        <w:i/>
        <w:iCs/>
        <w:sz w:val="18"/>
        <w:szCs w:val="18"/>
        <w:lang w:val="en-AU"/>
      </w:rPr>
    </w:pPr>
    <w:r w:rsidRPr="00FB1CC3">
      <w:rPr>
        <w:rFonts w:ascii="Arial" w:hAnsi="Arial" w:cs="Arial"/>
        <w:i/>
        <w:iCs/>
        <w:sz w:val="18"/>
        <w:szCs w:val="18"/>
        <w:lang w:val="en-AU"/>
      </w:rPr>
      <w:tab/>
    </w:r>
    <w:r w:rsidRPr="00FB1CC3">
      <w:rPr>
        <w:rFonts w:ascii="Arial" w:hAnsi="Arial" w:cs="Arial"/>
        <w:i/>
        <w:iCs/>
        <w:sz w:val="18"/>
        <w:szCs w:val="18"/>
        <w:lang w:val="en-AU"/>
      </w:rPr>
      <w:tab/>
    </w:r>
    <w:r>
      <w:rPr>
        <w:rFonts w:ascii="Arial" w:hAnsi="Arial" w:cs="Arial"/>
        <w:i/>
        <w:iCs/>
        <w:sz w:val="18"/>
        <w:szCs w:val="18"/>
        <w:lang w:val="en-AU"/>
      </w:rPr>
      <w:t>P</w:t>
    </w:r>
    <w:r w:rsidRPr="00FB1CC3">
      <w:rPr>
        <w:rFonts w:ascii="Arial" w:hAnsi="Arial" w:cs="Arial"/>
        <w:i/>
        <w:iCs/>
        <w:sz w:val="18"/>
        <w:szCs w:val="18"/>
        <w:lang w:val="en-AU"/>
      </w:rPr>
      <w:t xml:space="preserve">age </w:t>
    </w:r>
    <w:r w:rsidRPr="00FB1CC3">
      <w:rPr>
        <w:rStyle w:val="PageNumber"/>
        <w:rFonts w:ascii="Arial" w:hAnsi="Arial" w:cs="Arial"/>
        <w:i/>
        <w:iCs/>
        <w:sz w:val="18"/>
        <w:szCs w:val="18"/>
      </w:rPr>
      <w:fldChar w:fldCharType="begin"/>
    </w:r>
    <w:r w:rsidRPr="00FB1CC3">
      <w:rPr>
        <w:rStyle w:val="PageNumber"/>
        <w:rFonts w:ascii="Arial" w:hAnsi="Arial" w:cs="Arial"/>
        <w:i/>
        <w:iCs/>
        <w:sz w:val="18"/>
        <w:szCs w:val="18"/>
      </w:rPr>
      <w:instrText xml:space="preserve"> PAGE </w:instrText>
    </w:r>
    <w:r w:rsidRPr="00FB1CC3">
      <w:rPr>
        <w:rStyle w:val="PageNumber"/>
        <w:rFonts w:ascii="Arial" w:hAnsi="Arial" w:cs="Arial"/>
        <w:i/>
        <w:iCs/>
        <w:sz w:val="18"/>
        <w:szCs w:val="18"/>
      </w:rPr>
      <w:fldChar w:fldCharType="separate"/>
    </w:r>
    <w:r>
      <w:rPr>
        <w:rStyle w:val="PageNumber"/>
        <w:rFonts w:ascii="Arial" w:hAnsi="Arial" w:cs="Arial"/>
        <w:i/>
        <w:iCs/>
        <w:noProof/>
        <w:sz w:val="18"/>
        <w:szCs w:val="18"/>
      </w:rPr>
      <w:t>1</w:t>
    </w:r>
    <w:r w:rsidRPr="00FB1CC3">
      <w:rPr>
        <w:rStyle w:val="PageNumber"/>
        <w:rFonts w:ascii="Arial" w:hAnsi="Arial" w:cs="Arial"/>
        <w:i/>
        <w:iCs/>
        <w:sz w:val="18"/>
        <w:szCs w:val="18"/>
      </w:rPr>
      <w:fldChar w:fldCharType="end"/>
    </w:r>
    <w:r w:rsidRPr="00FB1CC3">
      <w:rPr>
        <w:rStyle w:val="PageNumber"/>
        <w:rFonts w:ascii="Arial" w:hAnsi="Arial" w:cs="Arial"/>
        <w:i/>
        <w:iCs/>
        <w:sz w:val="18"/>
        <w:szCs w:val="18"/>
      </w:rPr>
      <w:t xml:space="preserve"> of </w:t>
    </w:r>
    <w:r w:rsidRPr="00FB1CC3">
      <w:rPr>
        <w:rStyle w:val="PageNumber"/>
        <w:rFonts w:ascii="Arial" w:hAnsi="Arial" w:cs="Arial"/>
        <w:i/>
        <w:iCs/>
        <w:sz w:val="18"/>
        <w:szCs w:val="18"/>
      </w:rPr>
      <w:fldChar w:fldCharType="begin"/>
    </w:r>
    <w:r w:rsidRPr="00FB1CC3">
      <w:rPr>
        <w:rStyle w:val="PageNumber"/>
        <w:rFonts w:ascii="Arial" w:hAnsi="Arial" w:cs="Arial"/>
        <w:i/>
        <w:iCs/>
        <w:sz w:val="18"/>
        <w:szCs w:val="18"/>
      </w:rPr>
      <w:instrText xml:space="preserve"> NUMPAGES </w:instrText>
    </w:r>
    <w:r w:rsidRPr="00FB1CC3">
      <w:rPr>
        <w:rStyle w:val="PageNumber"/>
        <w:rFonts w:ascii="Arial" w:hAnsi="Arial" w:cs="Arial"/>
        <w:i/>
        <w:iCs/>
        <w:sz w:val="18"/>
        <w:szCs w:val="18"/>
      </w:rPr>
      <w:fldChar w:fldCharType="separate"/>
    </w:r>
    <w:r>
      <w:rPr>
        <w:rStyle w:val="PageNumber"/>
        <w:rFonts w:ascii="Arial" w:hAnsi="Arial" w:cs="Arial"/>
        <w:i/>
        <w:iCs/>
        <w:noProof/>
        <w:sz w:val="18"/>
        <w:szCs w:val="18"/>
      </w:rPr>
      <w:t>4</w:t>
    </w:r>
    <w:r w:rsidRPr="00FB1CC3">
      <w:rPr>
        <w:rStyle w:val="PageNumber"/>
        <w:rFonts w:ascii="Arial" w:hAnsi="Arial" w:cs="Arial"/>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5A" w:rsidRDefault="007D0A5A">
      <w:r>
        <w:separator/>
      </w:r>
    </w:p>
  </w:footnote>
  <w:footnote w:type="continuationSeparator" w:id="0">
    <w:p w:rsidR="007D0A5A" w:rsidRDefault="007D0A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08086C74"/>
    <w:lvl w:ilvl="0">
      <w:start w:val="1"/>
      <w:numFmt w:val="bullet"/>
      <w:lvlText w:val=""/>
      <w:lvlJc w:val="left"/>
      <w:pPr>
        <w:tabs>
          <w:tab w:val="num" w:pos="360"/>
        </w:tabs>
        <w:ind w:left="360" w:hanging="360"/>
      </w:pPr>
      <w:rPr>
        <w:rFonts w:ascii="Symbol" w:hAnsi="Symbol" w:hint="default"/>
      </w:rPr>
    </w:lvl>
  </w:abstractNum>
  <w:abstractNum w:abstractNumId="5">
    <w:nsid w:val="039A4FC7"/>
    <w:multiLevelType w:val="hybridMultilevel"/>
    <w:tmpl w:val="0B7ABC14"/>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6824DAC"/>
    <w:multiLevelType w:val="hybridMultilevel"/>
    <w:tmpl w:val="051AF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1D42F4"/>
    <w:multiLevelType w:val="hybridMultilevel"/>
    <w:tmpl w:val="D8F4B56A"/>
    <w:lvl w:ilvl="0" w:tplc="9C001402">
      <w:start w:val="1"/>
      <w:numFmt w:val="bullet"/>
      <w:lvlText w:val="-"/>
      <w:lvlJc w:val="left"/>
      <w:pPr>
        <w:ind w:left="1080" w:hanging="360"/>
      </w:pPr>
      <w:rPr>
        <w:rFonts w:ascii="Helv" w:eastAsia="Times New Roman" w:hAnsi="Helv"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D78623B"/>
    <w:multiLevelType w:val="hybridMultilevel"/>
    <w:tmpl w:val="56E8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020DC2"/>
    <w:multiLevelType w:val="hybridMultilevel"/>
    <w:tmpl w:val="DB1EA3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A295BAA"/>
    <w:multiLevelType w:val="hybridMultilevel"/>
    <w:tmpl w:val="7D2A4818"/>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1ACC4A52"/>
    <w:multiLevelType w:val="hybridMultilevel"/>
    <w:tmpl w:val="35B0EFC6"/>
    <w:lvl w:ilvl="0" w:tplc="627815D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193AEF"/>
    <w:multiLevelType w:val="hybridMultilevel"/>
    <w:tmpl w:val="481C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145C61"/>
    <w:multiLevelType w:val="hybridMultilevel"/>
    <w:tmpl w:val="73A2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D05DA0"/>
    <w:multiLevelType w:val="hybridMultilevel"/>
    <w:tmpl w:val="187E21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DB8374F"/>
    <w:multiLevelType w:val="hybridMultilevel"/>
    <w:tmpl w:val="42A8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F4255B"/>
    <w:multiLevelType w:val="hybridMultilevel"/>
    <w:tmpl w:val="89A28D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92E08"/>
    <w:multiLevelType w:val="hybridMultilevel"/>
    <w:tmpl w:val="258CE3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537A3C"/>
    <w:multiLevelType w:val="hybridMultilevel"/>
    <w:tmpl w:val="42B6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BE1283"/>
    <w:multiLevelType w:val="hybridMultilevel"/>
    <w:tmpl w:val="A0E0509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11A3B94"/>
    <w:multiLevelType w:val="hybridMultilevel"/>
    <w:tmpl w:val="C3F0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6F0101"/>
    <w:multiLevelType w:val="hybridMultilevel"/>
    <w:tmpl w:val="4DD8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714B44"/>
    <w:multiLevelType w:val="hybridMultilevel"/>
    <w:tmpl w:val="492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160B65"/>
    <w:multiLevelType w:val="hybridMultilevel"/>
    <w:tmpl w:val="ED124F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9E51E49"/>
    <w:multiLevelType w:val="hybridMultilevel"/>
    <w:tmpl w:val="06C6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851D74"/>
    <w:multiLevelType w:val="hybridMultilevel"/>
    <w:tmpl w:val="CD54A8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C3A1388"/>
    <w:multiLevelType w:val="hybridMultilevel"/>
    <w:tmpl w:val="E93E7A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4F0066AE"/>
    <w:multiLevelType w:val="hybridMultilevel"/>
    <w:tmpl w:val="CE902A62"/>
    <w:lvl w:ilvl="0" w:tplc="C0F29C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F2B95"/>
    <w:multiLevelType w:val="hybridMultilevel"/>
    <w:tmpl w:val="3D425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235910"/>
    <w:multiLevelType w:val="hybridMultilevel"/>
    <w:tmpl w:val="1CA069D6"/>
    <w:lvl w:ilvl="0" w:tplc="0409000F">
      <w:start w:val="1"/>
      <w:numFmt w:val="decimal"/>
      <w:lvlText w:val="%1."/>
      <w:lvlJc w:val="left"/>
      <w:pPr>
        <w:tabs>
          <w:tab w:val="num" w:pos="720"/>
        </w:tabs>
        <w:ind w:left="720" w:hanging="360"/>
      </w:pPr>
      <w:rPr>
        <w:rFonts w:cs="Times New Roman"/>
      </w:rPr>
    </w:lvl>
    <w:lvl w:ilvl="1" w:tplc="C0D65420">
      <w:numFmt w:val="bullet"/>
      <w:lvlText w:val="-"/>
      <w:lvlJc w:val="left"/>
      <w:pPr>
        <w:ind w:left="1440" w:hanging="360"/>
      </w:pPr>
      <w:rPr>
        <w:rFonts w:ascii="Calibri" w:eastAsia="Times New Roman" w:hAnsi="Calibri"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6F25A43"/>
    <w:multiLevelType w:val="hybridMultilevel"/>
    <w:tmpl w:val="035A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70768E"/>
    <w:multiLevelType w:val="hybridMultilevel"/>
    <w:tmpl w:val="12862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98938B6"/>
    <w:multiLevelType w:val="hybridMultilevel"/>
    <w:tmpl w:val="2F1E04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4381671"/>
    <w:multiLevelType w:val="hybridMultilevel"/>
    <w:tmpl w:val="B8DC3E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A1E48CE"/>
    <w:multiLevelType w:val="hybridMultilevel"/>
    <w:tmpl w:val="B77C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0F098F"/>
    <w:multiLevelType w:val="hybridMultilevel"/>
    <w:tmpl w:val="E15877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3C8043B"/>
    <w:multiLevelType w:val="hybridMultilevel"/>
    <w:tmpl w:val="E182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24223B"/>
    <w:multiLevelType w:val="hybridMultilevel"/>
    <w:tmpl w:val="BD70E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6493355"/>
    <w:multiLevelType w:val="hybridMultilevel"/>
    <w:tmpl w:val="1DE8D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6707A5E"/>
    <w:multiLevelType w:val="hybridMultilevel"/>
    <w:tmpl w:val="780832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7B35611"/>
    <w:multiLevelType w:val="hybridMultilevel"/>
    <w:tmpl w:val="2FB2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BC5FF4"/>
    <w:multiLevelType w:val="hybridMultilevel"/>
    <w:tmpl w:val="1CA069D6"/>
    <w:lvl w:ilvl="0" w:tplc="0409000F">
      <w:start w:val="1"/>
      <w:numFmt w:val="decimal"/>
      <w:lvlText w:val="%1."/>
      <w:lvlJc w:val="left"/>
      <w:pPr>
        <w:tabs>
          <w:tab w:val="num" w:pos="720"/>
        </w:tabs>
        <w:ind w:left="720" w:hanging="360"/>
      </w:pPr>
      <w:rPr>
        <w:rFonts w:cs="Times New Roman"/>
      </w:rPr>
    </w:lvl>
    <w:lvl w:ilvl="1" w:tplc="C0D65420">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B000260"/>
    <w:multiLevelType w:val="hybridMultilevel"/>
    <w:tmpl w:val="0F688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C8C5254"/>
    <w:multiLevelType w:val="hybridMultilevel"/>
    <w:tmpl w:val="4F920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4"/>
  </w:num>
  <w:num w:numId="5">
    <w:abstractNumId w:val="3"/>
  </w:num>
  <w:num w:numId="6">
    <w:abstractNumId w:val="0"/>
  </w:num>
  <w:num w:numId="7">
    <w:abstractNumId w:val="4"/>
  </w:num>
  <w:num w:numId="8">
    <w:abstractNumId w:val="2"/>
  </w:num>
  <w:num w:numId="9">
    <w:abstractNumId w:val="1"/>
  </w:num>
  <w:num w:numId="10">
    <w:abstractNumId w:val="3"/>
  </w:num>
  <w:num w:numId="11">
    <w:abstractNumId w:val="0"/>
  </w:num>
  <w:num w:numId="12">
    <w:abstractNumId w:val="14"/>
  </w:num>
  <w:num w:numId="13">
    <w:abstractNumId w:val="13"/>
  </w:num>
  <w:num w:numId="14">
    <w:abstractNumId w:val="36"/>
  </w:num>
  <w:num w:numId="15">
    <w:abstractNumId w:val="42"/>
  </w:num>
  <w:num w:numId="16">
    <w:abstractNumId w:val="29"/>
  </w:num>
  <w:num w:numId="17">
    <w:abstractNumId w:val="28"/>
  </w:num>
  <w:num w:numId="18">
    <w:abstractNumId w:val="6"/>
  </w:num>
  <w:num w:numId="19">
    <w:abstractNumId w:val="38"/>
  </w:num>
  <w:num w:numId="20">
    <w:abstractNumId w:val="18"/>
  </w:num>
  <w:num w:numId="21">
    <w:abstractNumId w:val="9"/>
  </w:num>
  <w:num w:numId="22">
    <w:abstractNumId w:val="39"/>
  </w:num>
  <w:num w:numId="23">
    <w:abstractNumId w:val="27"/>
  </w:num>
  <w:num w:numId="24">
    <w:abstractNumId w:val="44"/>
  </w:num>
  <w:num w:numId="25">
    <w:abstractNumId w:val="23"/>
  </w:num>
  <w:num w:numId="26">
    <w:abstractNumId w:val="11"/>
  </w:num>
  <w:num w:numId="27">
    <w:abstractNumId w:val="41"/>
  </w:num>
  <w:num w:numId="28">
    <w:abstractNumId w:val="7"/>
  </w:num>
  <w:num w:numId="29">
    <w:abstractNumId w:val="35"/>
  </w:num>
  <w:num w:numId="30">
    <w:abstractNumId w:val="43"/>
  </w:num>
  <w:num w:numId="31">
    <w:abstractNumId w:val="15"/>
  </w:num>
  <w:num w:numId="32">
    <w:abstractNumId w:val="24"/>
  </w:num>
  <w:num w:numId="33">
    <w:abstractNumId w:val="22"/>
  </w:num>
  <w:num w:numId="34">
    <w:abstractNumId w:val="8"/>
  </w:num>
  <w:num w:numId="35">
    <w:abstractNumId w:val="21"/>
  </w:num>
  <w:num w:numId="36">
    <w:abstractNumId w:val="26"/>
  </w:num>
  <w:num w:numId="37">
    <w:abstractNumId w:val="40"/>
  </w:num>
  <w:num w:numId="38">
    <w:abstractNumId w:val="33"/>
  </w:num>
  <w:num w:numId="39">
    <w:abstractNumId w:val="16"/>
  </w:num>
  <w:num w:numId="40">
    <w:abstractNumId w:val="31"/>
  </w:num>
  <w:num w:numId="41">
    <w:abstractNumId w:val="12"/>
  </w:num>
  <w:num w:numId="42">
    <w:abstractNumId w:val="25"/>
  </w:num>
  <w:num w:numId="43">
    <w:abstractNumId w:val="34"/>
  </w:num>
  <w:num w:numId="44">
    <w:abstractNumId w:val="17"/>
  </w:num>
  <w:num w:numId="45">
    <w:abstractNumId w:val="5"/>
  </w:num>
  <w:num w:numId="46">
    <w:abstractNumId w:val="10"/>
  </w:num>
  <w:num w:numId="47">
    <w:abstractNumId w:val="32"/>
  </w:num>
  <w:num w:numId="48">
    <w:abstractNumId w:val="20"/>
  </w:num>
  <w:num w:numId="49">
    <w:abstractNumId w:val="19"/>
  </w:num>
  <w:num w:numId="50">
    <w:abstractNumId w:val="37"/>
  </w:num>
  <w:num w:numId="5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163"/>
    <w:rsid w:val="000214A7"/>
    <w:rsid w:val="00021639"/>
    <w:rsid w:val="00052795"/>
    <w:rsid w:val="000654CA"/>
    <w:rsid w:val="0007385F"/>
    <w:rsid w:val="00096E5C"/>
    <w:rsid w:val="000B04D9"/>
    <w:rsid w:val="000B1FC8"/>
    <w:rsid w:val="000D411A"/>
    <w:rsid w:val="00114E91"/>
    <w:rsid w:val="001302ED"/>
    <w:rsid w:val="00186365"/>
    <w:rsid w:val="001A2AE7"/>
    <w:rsid w:val="001C0F92"/>
    <w:rsid w:val="001C4CEC"/>
    <w:rsid w:val="001D1049"/>
    <w:rsid w:val="001D249C"/>
    <w:rsid w:val="001F2F3F"/>
    <w:rsid w:val="00210FEE"/>
    <w:rsid w:val="00211CDA"/>
    <w:rsid w:val="00255EA7"/>
    <w:rsid w:val="0025771B"/>
    <w:rsid w:val="00277A34"/>
    <w:rsid w:val="002825E2"/>
    <w:rsid w:val="00290A8D"/>
    <w:rsid w:val="00295C15"/>
    <w:rsid w:val="002B6726"/>
    <w:rsid w:val="002C6818"/>
    <w:rsid w:val="002D5C3A"/>
    <w:rsid w:val="002E195E"/>
    <w:rsid w:val="002E76CF"/>
    <w:rsid w:val="002E76FF"/>
    <w:rsid w:val="00321D3E"/>
    <w:rsid w:val="00375962"/>
    <w:rsid w:val="00383025"/>
    <w:rsid w:val="003840E8"/>
    <w:rsid w:val="003861B9"/>
    <w:rsid w:val="003D4014"/>
    <w:rsid w:val="003E2372"/>
    <w:rsid w:val="00452588"/>
    <w:rsid w:val="004538BB"/>
    <w:rsid w:val="004667B1"/>
    <w:rsid w:val="004B4804"/>
    <w:rsid w:val="004C4670"/>
    <w:rsid w:val="004E270F"/>
    <w:rsid w:val="00513057"/>
    <w:rsid w:val="00521B0C"/>
    <w:rsid w:val="00536C58"/>
    <w:rsid w:val="00537130"/>
    <w:rsid w:val="00561AF7"/>
    <w:rsid w:val="0056796A"/>
    <w:rsid w:val="00577127"/>
    <w:rsid w:val="00583F2A"/>
    <w:rsid w:val="005D4135"/>
    <w:rsid w:val="005F6B22"/>
    <w:rsid w:val="00606441"/>
    <w:rsid w:val="00650231"/>
    <w:rsid w:val="00667FC7"/>
    <w:rsid w:val="0068272E"/>
    <w:rsid w:val="006A144D"/>
    <w:rsid w:val="006B3D60"/>
    <w:rsid w:val="006D4F84"/>
    <w:rsid w:val="00703FC5"/>
    <w:rsid w:val="00713083"/>
    <w:rsid w:val="00726AA9"/>
    <w:rsid w:val="007369D3"/>
    <w:rsid w:val="00761FC9"/>
    <w:rsid w:val="00773932"/>
    <w:rsid w:val="00780775"/>
    <w:rsid w:val="00780969"/>
    <w:rsid w:val="00787D54"/>
    <w:rsid w:val="007A01A3"/>
    <w:rsid w:val="007B073D"/>
    <w:rsid w:val="007B27B0"/>
    <w:rsid w:val="007B6D3A"/>
    <w:rsid w:val="007C2645"/>
    <w:rsid w:val="007C600C"/>
    <w:rsid w:val="007D0A5A"/>
    <w:rsid w:val="007F2779"/>
    <w:rsid w:val="008036B6"/>
    <w:rsid w:val="0080506A"/>
    <w:rsid w:val="00817D08"/>
    <w:rsid w:val="00846265"/>
    <w:rsid w:val="008574A7"/>
    <w:rsid w:val="0087195E"/>
    <w:rsid w:val="0090571E"/>
    <w:rsid w:val="00930BF1"/>
    <w:rsid w:val="00955239"/>
    <w:rsid w:val="009775BD"/>
    <w:rsid w:val="009A0CB2"/>
    <w:rsid w:val="009B0F53"/>
    <w:rsid w:val="009B3C1F"/>
    <w:rsid w:val="009C0AFF"/>
    <w:rsid w:val="009C26BF"/>
    <w:rsid w:val="009E5218"/>
    <w:rsid w:val="009F3AC3"/>
    <w:rsid w:val="009F4391"/>
    <w:rsid w:val="00A1235F"/>
    <w:rsid w:val="00A2767E"/>
    <w:rsid w:val="00A41032"/>
    <w:rsid w:val="00A6400D"/>
    <w:rsid w:val="00A743B5"/>
    <w:rsid w:val="00A930BB"/>
    <w:rsid w:val="00AC230A"/>
    <w:rsid w:val="00AC3239"/>
    <w:rsid w:val="00AF3114"/>
    <w:rsid w:val="00B36D9D"/>
    <w:rsid w:val="00B43752"/>
    <w:rsid w:val="00B4593D"/>
    <w:rsid w:val="00B46AE5"/>
    <w:rsid w:val="00B65237"/>
    <w:rsid w:val="00B72189"/>
    <w:rsid w:val="00B743B5"/>
    <w:rsid w:val="00BE0489"/>
    <w:rsid w:val="00BE5635"/>
    <w:rsid w:val="00BF1F58"/>
    <w:rsid w:val="00C00AD0"/>
    <w:rsid w:val="00C013FF"/>
    <w:rsid w:val="00C0690F"/>
    <w:rsid w:val="00C13130"/>
    <w:rsid w:val="00C2017F"/>
    <w:rsid w:val="00C255BB"/>
    <w:rsid w:val="00C262DA"/>
    <w:rsid w:val="00C3149B"/>
    <w:rsid w:val="00C67873"/>
    <w:rsid w:val="00C95522"/>
    <w:rsid w:val="00C97BE9"/>
    <w:rsid w:val="00CC0941"/>
    <w:rsid w:val="00CC2479"/>
    <w:rsid w:val="00CD6977"/>
    <w:rsid w:val="00CF2F9C"/>
    <w:rsid w:val="00D15513"/>
    <w:rsid w:val="00D4440B"/>
    <w:rsid w:val="00D444C8"/>
    <w:rsid w:val="00D75F57"/>
    <w:rsid w:val="00D7746B"/>
    <w:rsid w:val="00D932D1"/>
    <w:rsid w:val="00D93D79"/>
    <w:rsid w:val="00DF0C50"/>
    <w:rsid w:val="00E00701"/>
    <w:rsid w:val="00E1048A"/>
    <w:rsid w:val="00E53163"/>
    <w:rsid w:val="00E6289A"/>
    <w:rsid w:val="00E76EEF"/>
    <w:rsid w:val="00E840AA"/>
    <w:rsid w:val="00ED1A89"/>
    <w:rsid w:val="00ED4652"/>
    <w:rsid w:val="00EF429B"/>
    <w:rsid w:val="00F6784A"/>
    <w:rsid w:val="00F70942"/>
    <w:rsid w:val="00F75E9B"/>
    <w:rsid w:val="00F77752"/>
    <w:rsid w:val="00F8581A"/>
    <w:rsid w:val="00F93D42"/>
    <w:rsid w:val="00FB1CC3"/>
    <w:rsid w:val="00FC222A"/>
    <w:rsid w:val="00FD3B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63"/>
    <w:rPr>
      <w:sz w:val="24"/>
      <w:szCs w:val="20"/>
      <w:lang w:val="en-GB" w:eastAsia="en-US"/>
    </w:rPr>
  </w:style>
  <w:style w:type="paragraph" w:styleId="Heading1">
    <w:name w:val="heading 1"/>
    <w:basedOn w:val="Normal"/>
    <w:next w:val="Normal"/>
    <w:link w:val="Heading1Char"/>
    <w:uiPriority w:val="99"/>
    <w:qFormat/>
    <w:rsid w:val="00703FC5"/>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3FC5"/>
    <w:rPr>
      <w:rFonts w:ascii="Cambria" w:hAnsi="Cambria" w:cs="Times New Roman"/>
      <w:b/>
      <w:bCs/>
      <w:color w:val="365F91"/>
      <w:sz w:val="28"/>
      <w:szCs w:val="28"/>
      <w:lang w:eastAsia="en-US"/>
    </w:rPr>
  </w:style>
  <w:style w:type="paragraph" w:styleId="Header">
    <w:name w:val="header"/>
    <w:basedOn w:val="Normal"/>
    <w:link w:val="HeaderChar"/>
    <w:uiPriority w:val="99"/>
    <w:rsid w:val="00E53163"/>
    <w:pPr>
      <w:tabs>
        <w:tab w:val="center" w:pos="4536"/>
        <w:tab w:val="right" w:pos="9072"/>
      </w:tabs>
    </w:pPr>
    <w:rPr>
      <w:szCs w:val="24"/>
      <w:lang w:val="fr-FR" w:eastAsia="fr-FR"/>
    </w:rPr>
  </w:style>
  <w:style w:type="character" w:customStyle="1" w:styleId="HeaderChar">
    <w:name w:val="Header Char"/>
    <w:basedOn w:val="DefaultParagraphFont"/>
    <w:link w:val="Header"/>
    <w:uiPriority w:val="99"/>
    <w:semiHidden/>
    <w:rsid w:val="00DA274D"/>
    <w:rPr>
      <w:sz w:val="24"/>
      <w:szCs w:val="20"/>
      <w:lang w:val="en-GB" w:eastAsia="en-US"/>
    </w:rPr>
  </w:style>
  <w:style w:type="paragraph" w:styleId="ListBullet">
    <w:name w:val="List Bullet"/>
    <w:basedOn w:val="Normal"/>
    <w:autoRedefine/>
    <w:uiPriority w:val="99"/>
    <w:pPr>
      <w:numPr>
        <w:numId w:val="4"/>
      </w:numPr>
      <w:ind w:left="357" w:hanging="357"/>
    </w:pPr>
  </w:style>
  <w:style w:type="paragraph" w:styleId="ListNumber">
    <w:name w:val="List Number"/>
    <w:basedOn w:val="Normal"/>
    <w:uiPriority w:val="99"/>
    <w:pPr>
      <w:numPr>
        <w:numId w:val="7"/>
      </w:numPr>
      <w:ind w:left="0" w:firstLine="0"/>
    </w:pPr>
  </w:style>
  <w:style w:type="paragraph" w:styleId="ListNumber2">
    <w:name w:val="List Number 2"/>
    <w:basedOn w:val="Normal"/>
    <w:uiPriority w:val="99"/>
    <w:pPr>
      <w:numPr>
        <w:numId w:val="8"/>
      </w:numPr>
      <w:ind w:left="641" w:hanging="357"/>
    </w:pPr>
  </w:style>
  <w:style w:type="table" w:styleId="TableGrid">
    <w:name w:val="Table Grid"/>
    <w:basedOn w:val="TableNormal"/>
    <w:uiPriority w:val="99"/>
    <w:rsid w:val="00E53163"/>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DA274D"/>
    <w:rPr>
      <w:sz w:val="24"/>
      <w:szCs w:val="20"/>
      <w:lang w:val="en-GB" w:eastAsia="en-US"/>
    </w:rPr>
  </w:style>
  <w:style w:type="character" w:styleId="PageNumber">
    <w:name w:val="page number"/>
    <w:basedOn w:val="DefaultParagraphFont"/>
    <w:uiPriority w:val="99"/>
    <w:rPr>
      <w:rFonts w:cs="Times New Roman"/>
    </w:rPr>
  </w:style>
  <w:style w:type="paragraph" w:styleId="ListParagraph">
    <w:name w:val="List Paragraph"/>
    <w:basedOn w:val="Normal"/>
    <w:uiPriority w:val="99"/>
    <w:qFormat/>
    <w:rsid w:val="00B36D9D"/>
    <w:pPr>
      <w:ind w:left="720"/>
      <w:contextualSpacing/>
    </w:pPr>
  </w:style>
  <w:style w:type="character" w:styleId="CommentReference">
    <w:name w:val="annotation reference"/>
    <w:basedOn w:val="DefaultParagraphFont"/>
    <w:uiPriority w:val="99"/>
    <w:semiHidden/>
    <w:rsid w:val="00D932D1"/>
    <w:rPr>
      <w:rFonts w:cs="Times New Roman"/>
      <w:sz w:val="16"/>
      <w:szCs w:val="16"/>
    </w:rPr>
  </w:style>
  <w:style w:type="paragraph" w:styleId="CommentText">
    <w:name w:val="annotation text"/>
    <w:basedOn w:val="Normal"/>
    <w:link w:val="CommentTextChar"/>
    <w:uiPriority w:val="99"/>
    <w:semiHidden/>
    <w:rsid w:val="00D932D1"/>
    <w:rPr>
      <w:sz w:val="20"/>
    </w:rPr>
  </w:style>
  <w:style w:type="character" w:customStyle="1" w:styleId="CommentTextChar">
    <w:name w:val="Comment Text Char"/>
    <w:basedOn w:val="DefaultParagraphFont"/>
    <w:link w:val="CommentText"/>
    <w:uiPriority w:val="99"/>
    <w:semiHidden/>
    <w:locked/>
    <w:rsid w:val="00D932D1"/>
    <w:rPr>
      <w:rFonts w:cs="Times New Roman"/>
      <w:lang w:eastAsia="en-US"/>
    </w:rPr>
  </w:style>
  <w:style w:type="paragraph" w:styleId="CommentSubject">
    <w:name w:val="annotation subject"/>
    <w:basedOn w:val="CommentText"/>
    <w:next w:val="CommentText"/>
    <w:link w:val="CommentSubjectChar"/>
    <w:uiPriority w:val="99"/>
    <w:semiHidden/>
    <w:rsid w:val="00D932D1"/>
    <w:rPr>
      <w:b/>
      <w:bCs/>
    </w:rPr>
  </w:style>
  <w:style w:type="character" w:customStyle="1" w:styleId="CommentSubjectChar">
    <w:name w:val="Comment Subject Char"/>
    <w:basedOn w:val="CommentTextChar"/>
    <w:link w:val="CommentSubject"/>
    <w:uiPriority w:val="99"/>
    <w:semiHidden/>
    <w:locked/>
    <w:rsid w:val="00D932D1"/>
    <w:rPr>
      <w:b/>
      <w:bCs/>
    </w:rPr>
  </w:style>
  <w:style w:type="paragraph" w:styleId="BalloonText">
    <w:name w:val="Balloon Text"/>
    <w:basedOn w:val="Normal"/>
    <w:link w:val="BalloonTextChar"/>
    <w:uiPriority w:val="99"/>
    <w:semiHidden/>
    <w:rsid w:val="00D932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2D1"/>
    <w:rPr>
      <w:rFonts w:ascii="Tahoma" w:hAnsi="Tahoma" w:cs="Tahoma"/>
      <w:sz w:val="16"/>
      <w:szCs w:val="16"/>
      <w:lang w:eastAsia="en-US"/>
    </w:rPr>
  </w:style>
  <w:style w:type="paragraph" w:styleId="BodyText">
    <w:name w:val="Body Text"/>
    <w:basedOn w:val="Normal"/>
    <w:link w:val="BodyTextChar"/>
    <w:uiPriority w:val="99"/>
    <w:rsid w:val="00021639"/>
    <w:pPr>
      <w:spacing w:after="120"/>
      <w:jc w:val="both"/>
    </w:pPr>
    <w:rPr>
      <w:szCs w:val="24"/>
    </w:rPr>
  </w:style>
  <w:style w:type="character" w:customStyle="1" w:styleId="BodyTextChar">
    <w:name w:val="Body Text Char"/>
    <w:basedOn w:val="DefaultParagraphFont"/>
    <w:link w:val="BodyText"/>
    <w:uiPriority w:val="99"/>
    <w:locked/>
    <w:rsid w:val="00021639"/>
    <w:rPr>
      <w:rFonts w:cs="Times New Roman"/>
      <w:sz w:val="24"/>
      <w:szCs w:val="24"/>
      <w:lang w:eastAsia="en-US"/>
    </w:rPr>
  </w:style>
  <w:style w:type="character" w:styleId="Hyperlink">
    <w:name w:val="Hyperlink"/>
    <w:basedOn w:val="DefaultParagraphFont"/>
    <w:uiPriority w:val="99"/>
    <w:rsid w:val="0084626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24311457">
      <w:marLeft w:val="0"/>
      <w:marRight w:val="0"/>
      <w:marTop w:val="0"/>
      <w:marBottom w:val="0"/>
      <w:divBdr>
        <w:top w:val="none" w:sz="0" w:space="0" w:color="auto"/>
        <w:left w:val="none" w:sz="0" w:space="0" w:color="auto"/>
        <w:bottom w:val="none" w:sz="0" w:space="0" w:color="auto"/>
        <w:right w:val="none" w:sz="0" w:space="0" w:color="auto"/>
      </w:divBdr>
      <w:divsChild>
        <w:div w:id="1324311454">
          <w:marLeft w:val="0"/>
          <w:marRight w:val="0"/>
          <w:marTop w:val="0"/>
          <w:marBottom w:val="0"/>
          <w:divBdr>
            <w:top w:val="none" w:sz="0" w:space="0" w:color="auto"/>
            <w:left w:val="none" w:sz="0" w:space="0" w:color="auto"/>
            <w:bottom w:val="none" w:sz="0" w:space="0" w:color="auto"/>
            <w:right w:val="none" w:sz="0" w:space="0" w:color="auto"/>
          </w:divBdr>
          <w:divsChild>
            <w:div w:id="1324311460">
              <w:marLeft w:val="0"/>
              <w:marRight w:val="0"/>
              <w:marTop w:val="0"/>
              <w:marBottom w:val="0"/>
              <w:divBdr>
                <w:top w:val="none" w:sz="0" w:space="0" w:color="auto"/>
                <w:left w:val="none" w:sz="0" w:space="0" w:color="auto"/>
                <w:bottom w:val="none" w:sz="0" w:space="0" w:color="auto"/>
                <w:right w:val="none" w:sz="0" w:space="0" w:color="auto"/>
              </w:divBdr>
              <w:divsChild>
                <w:div w:id="1324311455">
                  <w:marLeft w:val="0"/>
                  <w:marRight w:val="0"/>
                  <w:marTop w:val="0"/>
                  <w:marBottom w:val="0"/>
                  <w:divBdr>
                    <w:top w:val="none" w:sz="0" w:space="0" w:color="auto"/>
                    <w:left w:val="none" w:sz="0" w:space="0" w:color="auto"/>
                    <w:bottom w:val="none" w:sz="0" w:space="0" w:color="auto"/>
                    <w:right w:val="none" w:sz="0" w:space="0" w:color="auto"/>
                  </w:divBdr>
                </w:div>
                <w:div w:id="1324311456">
                  <w:marLeft w:val="0"/>
                  <w:marRight w:val="0"/>
                  <w:marTop w:val="0"/>
                  <w:marBottom w:val="0"/>
                  <w:divBdr>
                    <w:top w:val="none" w:sz="0" w:space="0" w:color="auto"/>
                    <w:left w:val="none" w:sz="0" w:space="0" w:color="auto"/>
                    <w:bottom w:val="none" w:sz="0" w:space="0" w:color="auto"/>
                    <w:right w:val="none" w:sz="0" w:space="0" w:color="auto"/>
                  </w:divBdr>
                </w:div>
                <w:div w:id="1324311458">
                  <w:marLeft w:val="0"/>
                  <w:marRight w:val="0"/>
                  <w:marTop w:val="0"/>
                  <w:marBottom w:val="0"/>
                  <w:divBdr>
                    <w:top w:val="none" w:sz="0" w:space="0" w:color="auto"/>
                    <w:left w:val="none" w:sz="0" w:space="0" w:color="auto"/>
                    <w:bottom w:val="none" w:sz="0" w:space="0" w:color="auto"/>
                    <w:right w:val="none" w:sz="0" w:space="0" w:color="auto"/>
                  </w:divBdr>
                </w:div>
              </w:divsChild>
            </w:div>
            <w:div w:id="1324311461">
              <w:marLeft w:val="0"/>
              <w:marRight w:val="0"/>
              <w:marTop w:val="0"/>
              <w:marBottom w:val="0"/>
              <w:divBdr>
                <w:top w:val="none" w:sz="0" w:space="0" w:color="auto"/>
                <w:left w:val="none" w:sz="0" w:space="0" w:color="auto"/>
                <w:bottom w:val="none" w:sz="0" w:space="0" w:color="auto"/>
                <w:right w:val="none" w:sz="0" w:space="0" w:color="auto"/>
              </w:divBdr>
              <w:divsChild>
                <w:div w:id="13243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jorie.sotofranco@ifr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1303</Words>
  <Characters>7432</Characters>
  <Application>Microsoft Office Outlook</Application>
  <DocSecurity>0</DocSecurity>
  <Lines>0</Lines>
  <Paragraphs>0</Paragraphs>
  <ScaleCrop>false</ScaleCrop>
  <Company>IFRC (Red Cross)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nuran.higgins</dc:creator>
  <cp:keywords/>
  <dc:description/>
  <cp:lastModifiedBy>.</cp:lastModifiedBy>
  <cp:revision>2</cp:revision>
  <cp:lastPrinted>2011-10-12T13:52:00Z</cp:lastPrinted>
  <dcterms:created xsi:type="dcterms:W3CDTF">2011-10-20T08:43:00Z</dcterms:created>
  <dcterms:modified xsi:type="dcterms:W3CDTF">2011-10-20T08:43:00Z</dcterms:modified>
</cp:coreProperties>
</file>